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92" w:type="dxa"/>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792"/>
      </w:tblGrid>
      <w:tr w:rsidR="00703D55" w14:paraId="57567373" w14:textId="77777777" w:rsidTr="00057381">
        <w:trPr>
          <w:trHeight w:val="2016"/>
          <w:jc w:val="center"/>
        </w:trPr>
        <w:tc>
          <w:tcPr>
            <w:tcW w:w="9792" w:type="dxa"/>
            <w:vAlign w:val="center"/>
          </w:tcPr>
          <w:p w14:paraId="5BD0EB89" w14:textId="1F2A46F9" w:rsidR="00703D55" w:rsidRPr="0038056D" w:rsidRDefault="00703D55" w:rsidP="00057381">
            <w:pPr>
              <w:pStyle w:val="Title"/>
              <w:ind w:left="-18"/>
              <w:contextualSpacing w:val="0"/>
              <w:rPr>
                <w:rFonts w:asciiTheme="minorHAnsi" w:hAnsiTheme="minorHAnsi"/>
                <w:b/>
              </w:rPr>
            </w:pPr>
            <w:r w:rsidRPr="0038056D">
              <w:rPr>
                <w:rFonts w:asciiTheme="minorHAnsi" w:hAnsiTheme="minorHAnsi"/>
                <w:b/>
                <w:noProof/>
                <w:sz w:val="2"/>
                <w:szCs w:val="2"/>
                <w:lang w:eastAsia="en-US"/>
              </w:rPr>
              <w:drawing>
                <wp:anchor distT="0" distB="0" distL="114300" distR="114300" simplePos="0" relativeHeight="251659264" behindDoc="1" locked="0" layoutInCell="1" allowOverlap="1" wp14:anchorId="29C13F1F" wp14:editId="5E86C9CA">
                  <wp:simplePos x="0" y="0"/>
                  <wp:positionH relativeFrom="margin">
                    <wp:posOffset>5241925</wp:posOffset>
                  </wp:positionH>
                  <wp:positionV relativeFrom="paragraph">
                    <wp:posOffset>-429260</wp:posOffset>
                  </wp:positionV>
                  <wp:extent cx="1005205" cy="982345"/>
                  <wp:effectExtent l="0" t="0" r="4445" b="8255"/>
                  <wp:wrapTight wrapText="bothSides">
                    <wp:wrapPolygon edited="0">
                      <wp:start x="0" y="0"/>
                      <wp:lineTo x="0" y="21363"/>
                      <wp:lineTo x="21286" y="21363"/>
                      <wp:lineTo x="21286" y="0"/>
                      <wp:lineTo x="0" y="0"/>
                    </wp:wrapPolygon>
                  </wp:wrapTight>
                  <wp:docPr id="2" name="Picture 2" descr="City of Mercer I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it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205" cy="982345"/>
                          </a:xfrm>
                          <a:prstGeom prst="rect">
                            <a:avLst/>
                          </a:prstGeom>
                        </pic:spPr>
                      </pic:pic>
                    </a:graphicData>
                  </a:graphic>
                  <wp14:sizeRelH relativeFrom="page">
                    <wp14:pctWidth>0</wp14:pctWidth>
                  </wp14:sizeRelH>
                  <wp14:sizeRelV relativeFrom="page">
                    <wp14:pctHeight>0</wp14:pctHeight>
                  </wp14:sizeRelV>
                </wp:anchor>
              </w:drawing>
            </w:r>
            <w:r w:rsidR="007A3972">
              <w:rPr>
                <w:rFonts w:asciiTheme="minorHAnsi" w:hAnsiTheme="minorHAnsi"/>
                <w:b/>
              </w:rPr>
              <w:t>CITY OF MERCER ISLAND</w:t>
            </w:r>
          </w:p>
          <w:p w14:paraId="78E8D18A" w14:textId="76E20296" w:rsidR="00703D55" w:rsidRPr="0038056D" w:rsidRDefault="00B921F5" w:rsidP="00057381">
            <w:pPr>
              <w:rPr>
                <w:b/>
                <w:sz w:val="28"/>
                <w:szCs w:val="28"/>
              </w:rPr>
            </w:pPr>
            <w:r>
              <w:rPr>
                <w:b/>
                <w:sz w:val="28"/>
                <w:szCs w:val="28"/>
              </w:rPr>
              <w:t>COMMUNITY PLANNING &amp; DEVELOPMENT</w:t>
            </w:r>
          </w:p>
          <w:p w14:paraId="5D06179A" w14:textId="77777777" w:rsidR="001B3670" w:rsidRPr="00797425" w:rsidRDefault="001B3670" w:rsidP="001B3670">
            <w:r w:rsidRPr="00797425">
              <w:t>9611 SE 36TH STREET | MERCER ISLAND, WA 98040</w:t>
            </w:r>
          </w:p>
          <w:p w14:paraId="0325AC7A" w14:textId="33DF9599" w:rsidR="001B3670" w:rsidRPr="00015949" w:rsidRDefault="001B3670" w:rsidP="001B3670">
            <w:r w:rsidRPr="00797425">
              <w:t xml:space="preserve">PHONE: 206.275.7605 | </w:t>
            </w:r>
            <w:hyperlink r:id="rId12" w:history="1">
              <w:r w:rsidRPr="00797425">
                <w:rPr>
                  <w:rStyle w:val="Hyperlink"/>
                </w:rPr>
                <w:t>www.mercergov.org</w:t>
              </w:r>
            </w:hyperlink>
          </w:p>
        </w:tc>
      </w:tr>
      <w:tr w:rsidR="00703D55" w14:paraId="206A5164" w14:textId="77777777" w:rsidTr="00057381">
        <w:trPr>
          <w:trHeight w:val="540"/>
          <w:jc w:val="center"/>
        </w:trPr>
        <w:tc>
          <w:tcPr>
            <w:tcW w:w="9792" w:type="dxa"/>
            <w:vAlign w:val="center"/>
          </w:tcPr>
          <w:p w14:paraId="2EFBEBB6" w14:textId="77777777" w:rsidR="005522D9" w:rsidRDefault="006B6B19" w:rsidP="00057381">
            <w:pPr>
              <w:tabs>
                <w:tab w:val="left" w:pos="8427"/>
              </w:tabs>
              <w:jc w:val="center"/>
              <w:rPr>
                <w:b/>
                <w:caps/>
                <w:sz w:val="42"/>
                <w:szCs w:val="42"/>
              </w:rPr>
            </w:pPr>
            <w:r w:rsidRPr="005522D9">
              <w:rPr>
                <w:b/>
                <w:caps/>
                <w:sz w:val="42"/>
                <w:szCs w:val="42"/>
              </w:rPr>
              <w:t>STAFF REPORT</w:t>
            </w:r>
            <w:r w:rsidR="005522D9" w:rsidRPr="005522D9">
              <w:rPr>
                <w:b/>
                <w:caps/>
                <w:sz w:val="42"/>
                <w:szCs w:val="42"/>
              </w:rPr>
              <w:t xml:space="preserve"> &amp; Recommendation </w:t>
            </w:r>
          </w:p>
          <w:p w14:paraId="44BE39D8" w14:textId="6894C950" w:rsidR="00A97734" w:rsidRPr="005522D9" w:rsidRDefault="005522D9" w:rsidP="00057381">
            <w:pPr>
              <w:tabs>
                <w:tab w:val="left" w:pos="8427"/>
              </w:tabs>
              <w:jc w:val="center"/>
              <w:rPr>
                <w:b/>
                <w:caps/>
                <w:sz w:val="42"/>
                <w:szCs w:val="42"/>
              </w:rPr>
            </w:pPr>
            <w:r w:rsidRPr="005522D9">
              <w:rPr>
                <w:b/>
                <w:caps/>
                <w:sz w:val="42"/>
                <w:szCs w:val="42"/>
              </w:rPr>
              <w:t>to hearing examiner</w:t>
            </w:r>
          </w:p>
          <w:p w14:paraId="64E640AB" w14:textId="3599CE86" w:rsidR="000321A3" w:rsidRPr="005522D9" w:rsidRDefault="005522D9" w:rsidP="00057381">
            <w:pPr>
              <w:tabs>
                <w:tab w:val="left" w:pos="8427"/>
              </w:tabs>
              <w:jc w:val="center"/>
              <w:rPr>
                <w:b/>
                <w:caps/>
                <w:sz w:val="28"/>
                <w:szCs w:val="28"/>
              </w:rPr>
            </w:pPr>
            <w:r w:rsidRPr="005522D9">
              <w:rPr>
                <w:b/>
                <w:caps/>
                <w:sz w:val="28"/>
                <w:szCs w:val="28"/>
              </w:rPr>
              <w:t>Reasonable Use exception and zoning variance</w:t>
            </w:r>
          </w:p>
          <w:p w14:paraId="2A97E649" w14:textId="4153B803" w:rsidR="00703D55" w:rsidRPr="006F70A1" w:rsidRDefault="00703D55" w:rsidP="00057381">
            <w:pPr>
              <w:tabs>
                <w:tab w:val="left" w:pos="8427"/>
              </w:tabs>
              <w:jc w:val="center"/>
              <w:rPr>
                <w:b/>
                <w:noProof/>
                <w:sz w:val="2"/>
                <w:szCs w:val="2"/>
                <w:lang w:eastAsia="en-US"/>
              </w:rPr>
            </w:pPr>
          </w:p>
        </w:tc>
      </w:tr>
    </w:tbl>
    <w:p w14:paraId="20AE80E3" w14:textId="7E63B289" w:rsidR="00A155F0" w:rsidRPr="00703D55" w:rsidRDefault="00A155F0" w:rsidP="00703D55">
      <w:pPr>
        <w:spacing w:after="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362"/>
      </w:tblGrid>
      <w:tr w:rsidR="00311156" w:rsidRPr="00CE0114" w14:paraId="7814B0D8" w14:textId="77777777" w:rsidTr="000C175A">
        <w:tc>
          <w:tcPr>
            <w:tcW w:w="2430" w:type="dxa"/>
            <w:shd w:val="clear" w:color="auto" w:fill="auto"/>
          </w:tcPr>
          <w:p w14:paraId="7D6C58D7" w14:textId="2350072D" w:rsidR="00311156" w:rsidRPr="003D1516" w:rsidRDefault="000321A3" w:rsidP="00E1007A">
            <w:pPr>
              <w:spacing w:after="240"/>
              <w:rPr>
                <w:b/>
              </w:rPr>
            </w:pPr>
            <w:bookmarkStart w:id="0" w:name="_Hlk534280558"/>
            <w:r>
              <w:rPr>
                <w:b/>
              </w:rPr>
              <w:t>Project</w:t>
            </w:r>
            <w:r w:rsidR="000E0BEF">
              <w:rPr>
                <w:b/>
              </w:rPr>
              <w:t xml:space="preserve"> No</w:t>
            </w:r>
            <w:r w:rsidR="005522D9">
              <w:rPr>
                <w:b/>
              </w:rPr>
              <w:t>s</w:t>
            </w:r>
            <w:r>
              <w:rPr>
                <w:b/>
              </w:rPr>
              <w:t>:</w:t>
            </w:r>
          </w:p>
        </w:tc>
        <w:tc>
          <w:tcPr>
            <w:tcW w:w="7362" w:type="dxa"/>
            <w:tcBorders>
              <w:left w:val="nil"/>
            </w:tcBorders>
          </w:tcPr>
          <w:p w14:paraId="5A5F1BE1" w14:textId="038161F8" w:rsidR="00311156" w:rsidRPr="004F45ED" w:rsidRDefault="005522D9" w:rsidP="00E1007A">
            <w:pPr>
              <w:spacing w:after="240"/>
              <w:jc w:val="both"/>
              <w:rPr>
                <w:rFonts w:cstheme="minorHAnsi"/>
              </w:rPr>
            </w:pPr>
            <w:r>
              <w:rPr>
                <w:rFonts w:cstheme="minorHAnsi"/>
              </w:rPr>
              <w:t>CAO15-001 &amp; VAR18-002</w:t>
            </w:r>
          </w:p>
        </w:tc>
      </w:tr>
      <w:tr w:rsidR="00327304" w:rsidRPr="004F45ED" w14:paraId="1504ED5F" w14:textId="77777777" w:rsidTr="00950BCD">
        <w:tc>
          <w:tcPr>
            <w:tcW w:w="2430" w:type="dxa"/>
            <w:shd w:val="clear" w:color="auto" w:fill="auto"/>
          </w:tcPr>
          <w:p w14:paraId="721CE740" w14:textId="312FBC0A" w:rsidR="00327304" w:rsidRPr="003D1516" w:rsidRDefault="000321A3" w:rsidP="00E1007A">
            <w:pPr>
              <w:spacing w:after="240"/>
              <w:rPr>
                <w:b/>
              </w:rPr>
            </w:pPr>
            <w:bookmarkStart w:id="1" w:name="_Hlk2335901"/>
            <w:bookmarkStart w:id="2" w:name="APSF1" w:colFirst="1" w:colLast="1"/>
            <w:r>
              <w:rPr>
                <w:b/>
              </w:rPr>
              <w:t>Description:</w:t>
            </w:r>
          </w:p>
        </w:tc>
        <w:tc>
          <w:tcPr>
            <w:tcW w:w="7362" w:type="dxa"/>
            <w:tcBorders>
              <w:left w:val="nil"/>
            </w:tcBorders>
            <w:shd w:val="clear" w:color="auto" w:fill="auto"/>
          </w:tcPr>
          <w:p w14:paraId="289AB617" w14:textId="709466B8" w:rsidR="004420E1" w:rsidRPr="008C381B" w:rsidRDefault="004420E1" w:rsidP="00E1007A">
            <w:pPr>
              <w:spacing w:after="240"/>
              <w:jc w:val="both"/>
              <w:rPr>
                <w:rFonts w:cstheme="minorHAnsi"/>
              </w:rPr>
            </w:pPr>
            <w:r w:rsidRPr="008C381B">
              <w:rPr>
                <w:rFonts w:cstheme="minorHAnsi"/>
              </w:rPr>
              <w:t xml:space="preserve">The Applicant has revised a </w:t>
            </w:r>
            <w:r>
              <w:rPr>
                <w:rFonts w:cstheme="minorHAnsi"/>
              </w:rPr>
              <w:t>r</w:t>
            </w:r>
            <w:r w:rsidRPr="008C381B">
              <w:rPr>
                <w:rFonts w:cstheme="minorHAnsi"/>
              </w:rPr>
              <w:t xml:space="preserve">easonable use exception (CAO15-001) and has applied for a zoning variance (VAR18-002), to construct a proposed house and associated improvements at 5637 East Mercer Way.  </w:t>
            </w:r>
          </w:p>
          <w:p w14:paraId="59E082C0" w14:textId="3D054A05" w:rsidR="00327304" w:rsidRPr="004F45ED" w:rsidRDefault="004420E1" w:rsidP="00E1007A">
            <w:pPr>
              <w:spacing w:after="240"/>
              <w:jc w:val="both"/>
              <w:rPr>
                <w:rFonts w:cstheme="minorHAnsi"/>
              </w:rPr>
            </w:pPr>
            <w:r w:rsidRPr="008C381B">
              <w:rPr>
                <w:rFonts w:cstheme="minorHAnsi"/>
              </w:rPr>
              <w:t>The proposed house and improvements will be located within a wetland, and wetland and watercourse buffer areas, which is the basis for the reasonable use exception application.  The proposed house is located within a required setback from an easement to reduce impacts to critical areas, which is the basis for the proposed zoning variance.</w:t>
            </w:r>
          </w:p>
        </w:tc>
      </w:tr>
      <w:bookmarkEnd w:id="0"/>
      <w:bookmarkEnd w:id="1"/>
      <w:bookmarkEnd w:id="2"/>
      <w:tr w:rsidR="00B921F5" w14:paraId="3D43C3AC" w14:textId="77777777" w:rsidTr="000C175A">
        <w:tc>
          <w:tcPr>
            <w:tcW w:w="2430" w:type="dxa"/>
            <w:shd w:val="clear" w:color="auto" w:fill="auto"/>
          </w:tcPr>
          <w:p w14:paraId="02524B46" w14:textId="2A7AA0DF" w:rsidR="004420E1" w:rsidRDefault="004420E1" w:rsidP="00E1007A">
            <w:pPr>
              <w:spacing w:after="240"/>
              <w:rPr>
                <w:b/>
              </w:rPr>
            </w:pPr>
            <w:r>
              <w:rPr>
                <w:b/>
              </w:rPr>
              <w:t>Recommendation:</w:t>
            </w:r>
          </w:p>
          <w:p w14:paraId="77FDF3A1" w14:textId="009F8231" w:rsidR="00B921F5" w:rsidRPr="007359EA" w:rsidRDefault="000321A3" w:rsidP="00E1007A">
            <w:pPr>
              <w:spacing w:after="240"/>
              <w:rPr>
                <w:b/>
              </w:rPr>
            </w:pPr>
            <w:r>
              <w:rPr>
                <w:b/>
              </w:rPr>
              <w:t>Applicant/ Owner:</w:t>
            </w:r>
          </w:p>
        </w:tc>
        <w:tc>
          <w:tcPr>
            <w:tcW w:w="7362" w:type="dxa"/>
            <w:tcBorders>
              <w:left w:val="nil"/>
            </w:tcBorders>
          </w:tcPr>
          <w:p w14:paraId="6E8C7F5F" w14:textId="77777777" w:rsidR="004420E1" w:rsidRDefault="004420E1" w:rsidP="00E1007A">
            <w:pPr>
              <w:spacing w:after="240"/>
              <w:jc w:val="both"/>
              <w:rPr>
                <w:rFonts w:cstheme="minorHAnsi"/>
              </w:rPr>
            </w:pPr>
          </w:p>
          <w:p w14:paraId="5B86725C" w14:textId="2A1E7C1F" w:rsidR="00B921F5" w:rsidRPr="00311156" w:rsidRDefault="004420E1" w:rsidP="00E1007A">
            <w:pPr>
              <w:spacing w:after="240"/>
              <w:jc w:val="both"/>
              <w:rPr>
                <w:rFonts w:cstheme="minorHAnsi"/>
              </w:rPr>
            </w:pPr>
            <w:r>
              <w:rPr>
                <w:rFonts w:cstheme="minorHAnsi"/>
              </w:rPr>
              <w:t>MI Treehouse, LLC (c/o Bill Summers)</w:t>
            </w:r>
          </w:p>
        </w:tc>
      </w:tr>
      <w:tr w:rsidR="00B921F5" w14:paraId="513206A7" w14:textId="77777777" w:rsidTr="000C175A">
        <w:tc>
          <w:tcPr>
            <w:tcW w:w="2430" w:type="dxa"/>
            <w:shd w:val="clear" w:color="auto" w:fill="auto"/>
          </w:tcPr>
          <w:p w14:paraId="785A380D" w14:textId="7F213F02" w:rsidR="00B921F5" w:rsidRPr="007359EA" w:rsidRDefault="000321A3" w:rsidP="00E1007A">
            <w:pPr>
              <w:spacing w:after="240"/>
              <w:rPr>
                <w:b/>
              </w:rPr>
            </w:pPr>
            <w:r>
              <w:rPr>
                <w:b/>
              </w:rPr>
              <w:t>Site Address:</w:t>
            </w:r>
          </w:p>
        </w:tc>
        <w:tc>
          <w:tcPr>
            <w:tcW w:w="7362" w:type="dxa"/>
            <w:tcBorders>
              <w:left w:val="nil"/>
            </w:tcBorders>
          </w:tcPr>
          <w:p w14:paraId="1858AADB" w14:textId="57082CDD" w:rsidR="00B921F5" w:rsidRPr="00311156" w:rsidRDefault="008C3FF9" w:rsidP="00E1007A">
            <w:pPr>
              <w:spacing w:after="240"/>
              <w:jc w:val="both"/>
              <w:rPr>
                <w:rFonts w:cstheme="minorHAnsi"/>
              </w:rPr>
            </w:pPr>
            <w:r>
              <w:rPr>
                <w:rFonts w:cstheme="minorHAnsi"/>
              </w:rPr>
              <w:t>5637 East Mercer Way, Mercer Island</w:t>
            </w:r>
            <w:r w:rsidRPr="008C381B">
              <w:rPr>
                <w:rFonts w:cstheme="minorHAnsi"/>
              </w:rPr>
              <w:t>, WA, 98040;</w:t>
            </w:r>
            <w:r>
              <w:rPr>
                <w:rFonts w:cstheme="minorHAnsi"/>
              </w:rPr>
              <w:t xml:space="preserve"> </w:t>
            </w:r>
            <w:r w:rsidRPr="008C381B">
              <w:rPr>
                <w:rFonts w:cstheme="minorHAnsi"/>
              </w:rPr>
              <w:t>Identified by King County Assessor tax parcel number 1924059312</w:t>
            </w:r>
          </w:p>
        </w:tc>
      </w:tr>
      <w:tr w:rsidR="006D4D7D" w14:paraId="40BD588D" w14:textId="77777777" w:rsidTr="000C175A">
        <w:tc>
          <w:tcPr>
            <w:tcW w:w="2430" w:type="dxa"/>
            <w:shd w:val="clear" w:color="auto" w:fill="auto"/>
          </w:tcPr>
          <w:p w14:paraId="06D57929" w14:textId="6F59F603" w:rsidR="006D4D7D" w:rsidRPr="007359EA" w:rsidRDefault="000321A3" w:rsidP="00E1007A">
            <w:pPr>
              <w:spacing w:after="240"/>
              <w:rPr>
                <w:b/>
              </w:rPr>
            </w:pPr>
            <w:r>
              <w:rPr>
                <w:b/>
              </w:rPr>
              <w:t>Zoning District</w:t>
            </w:r>
          </w:p>
        </w:tc>
        <w:tc>
          <w:tcPr>
            <w:tcW w:w="7362" w:type="dxa"/>
            <w:tcBorders>
              <w:left w:val="nil"/>
            </w:tcBorders>
          </w:tcPr>
          <w:p w14:paraId="186EA389" w14:textId="696E280C" w:rsidR="006D4D7D" w:rsidRPr="004F45ED" w:rsidRDefault="008C3FF9" w:rsidP="00E1007A">
            <w:pPr>
              <w:spacing w:after="240"/>
              <w:jc w:val="both"/>
              <w:rPr>
                <w:rFonts w:cstheme="minorHAnsi"/>
              </w:rPr>
            </w:pPr>
            <w:r>
              <w:rPr>
                <w:rFonts w:cstheme="minorHAnsi"/>
              </w:rPr>
              <w:t>R-15</w:t>
            </w:r>
          </w:p>
        </w:tc>
      </w:tr>
      <w:tr w:rsidR="006D4D7D" w:rsidRPr="000C175A" w14:paraId="64D82D38" w14:textId="77777777" w:rsidTr="00057381">
        <w:tc>
          <w:tcPr>
            <w:tcW w:w="2430" w:type="dxa"/>
            <w:shd w:val="clear" w:color="auto" w:fill="auto"/>
          </w:tcPr>
          <w:p w14:paraId="5010FCCD" w14:textId="2CD5B533" w:rsidR="006D4D7D" w:rsidRPr="007359EA" w:rsidRDefault="009A28FD" w:rsidP="00E1007A">
            <w:pPr>
              <w:spacing w:after="240"/>
              <w:rPr>
                <w:b/>
              </w:rPr>
            </w:pPr>
            <w:r>
              <w:rPr>
                <w:b/>
              </w:rPr>
              <w:t>Staff Contact:</w:t>
            </w:r>
          </w:p>
        </w:tc>
        <w:tc>
          <w:tcPr>
            <w:tcW w:w="7362" w:type="dxa"/>
            <w:tcBorders>
              <w:left w:val="nil"/>
            </w:tcBorders>
          </w:tcPr>
          <w:p w14:paraId="7D634843" w14:textId="7215A7C5" w:rsidR="006D4D7D" w:rsidRPr="003D1516" w:rsidRDefault="008C3FF9" w:rsidP="00E1007A">
            <w:pPr>
              <w:autoSpaceDE w:val="0"/>
              <w:autoSpaceDN w:val="0"/>
              <w:adjustRightInd w:val="0"/>
              <w:spacing w:after="240"/>
              <w:jc w:val="both"/>
              <w:rPr>
                <w:rFonts w:cstheme="minorHAnsi"/>
              </w:rPr>
            </w:pPr>
            <w:r>
              <w:rPr>
                <w:rFonts w:cstheme="minorHAnsi"/>
              </w:rPr>
              <w:t>Robin Proebsting, Senior Planner</w:t>
            </w:r>
          </w:p>
        </w:tc>
      </w:tr>
      <w:tr w:rsidR="008971EE" w:rsidRPr="000C175A" w14:paraId="4A32EAC9" w14:textId="77777777" w:rsidTr="005D014A">
        <w:tc>
          <w:tcPr>
            <w:tcW w:w="9792" w:type="dxa"/>
            <w:gridSpan w:val="2"/>
            <w:shd w:val="clear" w:color="auto" w:fill="D9D9D9" w:themeFill="background1" w:themeFillShade="D9"/>
          </w:tcPr>
          <w:p w14:paraId="73F2F1CB" w14:textId="6B784F5C" w:rsidR="008971EE" w:rsidRPr="005D014A" w:rsidRDefault="0046215F" w:rsidP="00FB3CB8">
            <w:pPr>
              <w:spacing w:before="120" w:after="2"/>
              <w:jc w:val="both"/>
              <w:rPr>
                <w:rFonts w:cstheme="minorHAnsi"/>
                <w:b/>
              </w:rPr>
            </w:pPr>
            <w:r>
              <w:rPr>
                <w:rFonts w:cstheme="minorHAnsi"/>
                <w:b/>
              </w:rPr>
              <w:t>INTRODUCTION</w:t>
            </w:r>
          </w:p>
        </w:tc>
      </w:tr>
      <w:tr w:rsidR="005D014A" w14:paraId="4A90245C" w14:textId="77777777" w:rsidTr="00DB7D12">
        <w:tc>
          <w:tcPr>
            <w:tcW w:w="9792" w:type="dxa"/>
            <w:gridSpan w:val="2"/>
            <w:shd w:val="clear" w:color="auto" w:fill="auto"/>
          </w:tcPr>
          <w:p w14:paraId="5EFFE8D6" w14:textId="77777777" w:rsidR="00A72BF0" w:rsidRDefault="00A72BF0" w:rsidP="00A72BF0">
            <w:pPr>
              <w:spacing w:before="120" w:after="2"/>
              <w:jc w:val="both"/>
              <w:rPr>
                <w:rFonts w:cstheme="minorHAnsi"/>
              </w:rPr>
            </w:pPr>
            <w:r w:rsidRPr="00A72BF0">
              <w:rPr>
                <w:rFonts w:cstheme="minorHAnsi"/>
              </w:rPr>
              <w:t xml:space="preserve">In January of 2015, the applicant filed an application for a Reasonable Use Exception (RUE) to build a new single-family home on a lot constrained by geologically hazardous areas, a wetland, watercourse, and associated buffers.  A RUE was required because the applicant could not meet the then-applicable protection standards for the wetland, watercourse, and associated buffers.  Following review in February of 2017, staff recommended that the Hearing Examiner deny the Reasonable Use Exception based upon the then proposed design, file contents, and applicable regulations.  The Hearing Examiner remanded the application back to the staff for further review in March 2017, directing staff to issue a SEPA determination and to include geotechnical analysis of the proposed home in the staff recommendation on the RUE.  </w:t>
            </w:r>
          </w:p>
          <w:p w14:paraId="436EC296" w14:textId="77777777" w:rsidR="00A72BF0" w:rsidRDefault="00A72BF0" w:rsidP="00A72BF0">
            <w:pPr>
              <w:spacing w:before="120" w:after="2"/>
              <w:jc w:val="both"/>
              <w:rPr>
                <w:rFonts w:cstheme="minorHAnsi"/>
              </w:rPr>
            </w:pPr>
          </w:p>
          <w:p w14:paraId="478DE5BE" w14:textId="0B2BBB3A" w:rsidR="00A72BF0" w:rsidRPr="00A72BF0" w:rsidRDefault="00A72BF0" w:rsidP="00A72BF0">
            <w:pPr>
              <w:spacing w:before="120" w:after="2"/>
              <w:jc w:val="both"/>
              <w:rPr>
                <w:rFonts w:cstheme="minorHAnsi"/>
              </w:rPr>
            </w:pPr>
            <w:r w:rsidRPr="00A72BF0">
              <w:rPr>
                <w:rFonts w:cstheme="minorHAnsi"/>
              </w:rPr>
              <w:lastRenderedPageBreak/>
              <w:t xml:space="preserve">Following discussion with staff, the applicant significantly revised their application and the proposed location of the single-family dwelling and site </w:t>
            </w:r>
            <w:proofErr w:type="gramStart"/>
            <w:r w:rsidRPr="00A72BF0">
              <w:rPr>
                <w:rFonts w:cstheme="minorHAnsi"/>
              </w:rPr>
              <w:t>improvements, and</w:t>
            </w:r>
            <w:proofErr w:type="gramEnd"/>
            <w:r w:rsidRPr="00A72BF0">
              <w:rPr>
                <w:rFonts w:cstheme="minorHAnsi"/>
              </w:rPr>
              <w:t xml:space="preserve"> applied for a zoning variance (May 2018) to required setbacks from an easement, with the goal of further minimizing impacts to the wetland, watercourse, and associated buffers on the site.  </w:t>
            </w:r>
          </w:p>
          <w:p w14:paraId="720C99FB" w14:textId="77777777" w:rsidR="002D2BF0" w:rsidRDefault="00A72BF0" w:rsidP="00A72BF0">
            <w:pPr>
              <w:spacing w:before="120" w:after="2"/>
              <w:jc w:val="both"/>
              <w:rPr>
                <w:rFonts w:cstheme="minorHAnsi"/>
              </w:rPr>
            </w:pPr>
            <w:r w:rsidRPr="00A72BF0">
              <w:rPr>
                <w:rFonts w:cstheme="minorHAnsi"/>
              </w:rPr>
              <w:t xml:space="preserve">In January of 2020, the City issued a SEPA Mitigated Determination of </w:t>
            </w:r>
            <w:proofErr w:type="spellStart"/>
            <w:r w:rsidRPr="00A72BF0">
              <w:rPr>
                <w:rFonts w:cstheme="minorHAnsi"/>
              </w:rPr>
              <w:t>Nonsignificance</w:t>
            </w:r>
            <w:proofErr w:type="spellEnd"/>
            <w:r w:rsidRPr="00A72BF0">
              <w:rPr>
                <w:rFonts w:cstheme="minorHAnsi"/>
              </w:rPr>
              <w:t xml:space="preserve"> (MDNS) on the proposed zoning variance. Staff recommended approval with conditions of the Reasonable Use Exception and approval of the Zoning Variance</w:t>
            </w:r>
            <w:r w:rsidR="00A61425">
              <w:rPr>
                <w:rFonts w:cstheme="minorHAnsi"/>
              </w:rPr>
              <w:t xml:space="preserve"> at a second public hearing.</w:t>
            </w:r>
            <w:r w:rsidR="0054244D">
              <w:rPr>
                <w:rFonts w:cstheme="minorHAnsi"/>
              </w:rPr>
              <w:t xml:space="preserve"> The Hearing Examiner remanded the application in August of 2020, citing a need for </w:t>
            </w:r>
            <w:r w:rsidR="00C407D3">
              <w:rPr>
                <w:rFonts w:cstheme="minorHAnsi"/>
              </w:rPr>
              <w:t>analysis of potential impacts related to geologically hazardous areas and clarification of an incomplete and internally inconsistent project file.</w:t>
            </w:r>
          </w:p>
          <w:p w14:paraId="5FB525D5" w14:textId="4D11E57A" w:rsidR="00A61425" w:rsidRPr="00A72BF0" w:rsidRDefault="00A61425" w:rsidP="00A72BF0">
            <w:pPr>
              <w:spacing w:before="120" w:after="2"/>
              <w:jc w:val="both"/>
              <w:rPr>
                <w:rFonts w:cstheme="minorHAnsi"/>
              </w:rPr>
            </w:pPr>
            <w:r>
              <w:rPr>
                <w:rFonts w:cstheme="minorHAnsi"/>
              </w:rPr>
              <w:t xml:space="preserve">To respond to the conclusions in the August 2020 Hearing Examiner’s decision, the applicant has provided </w:t>
            </w:r>
            <w:r w:rsidR="00551671">
              <w:rPr>
                <w:rFonts w:cstheme="minorHAnsi"/>
              </w:rPr>
              <w:t xml:space="preserve">updated </w:t>
            </w:r>
            <w:r>
              <w:rPr>
                <w:rFonts w:cstheme="minorHAnsi"/>
              </w:rPr>
              <w:t xml:space="preserve">geotechnical analysis and </w:t>
            </w:r>
            <w:r w:rsidR="00D52BC2">
              <w:rPr>
                <w:rFonts w:cstheme="minorHAnsi"/>
              </w:rPr>
              <w:t>[</w:t>
            </w:r>
            <w:r w:rsidR="00D52BC2" w:rsidRPr="00D52BC2">
              <w:rPr>
                <w:rFonts w:cstheme="minorHAnsi"/>
                <w:highlight w:val="yellow"/>
              </w:rPr>
              <w:t>a new site plan showing a re-flagged watercourse</w:t>
            </w:r>
            <w:r w:rsidR="00D52BC2">
              <w:rPr>
                <w:rFonts w:cstheme="minorHAnsi"/>
              </w:rPr>
              <w:t>]. Based on the updated information, staff are recommending</w:t>
            </w:r>
            <w:r w:rsidR="00442A3A">
              <w:t xml:space="preserve"> </w:t>
            </w:r>
            <w:r w:rsidR="00442A3A" w:rsidRPr="00442A3A">
              <w:rPr>
                <w:rFonts w:cstheme="minorHAnsi"/>
              </w:rPr>
              <w:t xml:space="preserve">that the Hearing Examiner </w:t>
            </w:r>
            <w:r w:rsidR="00442A3A">
              <w:rPr>
                <w:rFonts w:cstheme="minorHAnsi"/>
              </w:rPr>
              <w:t>[</w:t>
            </w:r>
            <w:r w:rsidR="00442A3A" w:rsidRPr="00442A3A">
              <w:rPr>
                <w:rFonts w:cstheme="minorHAnsi"/>
                <w:highlight w:val="yellow"/>
              </w:rPr>
              <w:t>conditionally approve the proposed RUE and approve the zoning variance.</w:t>
            </w:r>
            <w:r w:rsidR="00442A3A" w:rsidRPr="00442A3A">
              <w:rPr>
                <w:rFonts w:cstheme="minorHAnsi"/>
                <w:highlight w:val="yellow"/>
              </w:rPr>
              <w:t>]</w:t>
            </w:r>
          </w:p>
        </w:tc>
      </w:tr>
      <w:tr w:rsidR="005D014A" w14:paraId="3B5FC3DF" w14:textId="77777777" w:rsidTr="005D014A">
        <w:tc>
          <w:tcPr>
            <w:tcW w:w="9792" w:type="dxa"/>
            <w:gridSpan w:val="2"/>
            <w:shd w:val="clear" w:color="auto" w:fill="D9D9D9" w:themeFill="background1" w:themeFillShade="D9"/>
          </w:tcPr>
          <w:p w14:paraId="51779477" w14:textId="70DAEDE4" w:rsidR="005D014A" w:rsidRPr="008C3FF9" w:rsidRDefault="005D014A" w:rsidP="00FB3CB8">
            <w:pPr>
              <w:spacing w:before="120" w:after="2"/>
              <w:jc w:val="both"/>
              <w:rPr>
                <w:rFonts w:cstheme="minorHAnsi"/>
                <w:b/>
                <w:caps/>
              </w:rPr>
            </w:pPr>
            <w:r w:rsidRPr="008C3FF9">
              <w:rPr>
                <w:rFonts w:cstheme="minorHAnsi"/>
                <w:b/>
                <w:caps/>
              </w:rPr>
              <w:lastRenderedPageBreak/>
              <w:t>Findings of Fact</w:t>
            </w:r>
          </w:p>
        </w:tc>
      </w:tr>
      <w:tr w:rsidR="006B476D" w14:paraId="46EF628F" w14:textId="77777777" w:rsidTr="00DB7D12">
        <w:tc>
          <w:tcPr>
            <w:tcW w:w="9792" w:type="dxa"/>
            <w:gridSpan w:val="2"/>
            <w:shd w:val="clear" w:color="auto" w:fill="auto"/>
          </w:tcPr>
          <w:p w14:paraId="0994D7FC" w14:textId="69A1C16E" w:rsidR="004676D6" w:rsidRPr="004676D6" w:rsidRDefault="004676D6" w:rsidP="004676D6">
            <w:pPr>
              <w:spacing w:before="120" w:after="2"/>
              <w:jc w:val="both"/>
              <w:rPr>
                <w:rFonts w:cstheme="minorHAnsi"/>
                <w:u w:val="single"/>
              </w:rPr>
            </w:pPr>
            <w:r w:rsidRPr="004676D6">
              <w:rPr>
                <w:rFonts w:cstheme="minorHAnsi"/>
                <w:u w:val="single"/>
              </w:rPr>
              <w:t>Hearing Examiner History</w:t>
            </w:r>
          </w:p>
          <w:p w14:paraId="21368C3E" w14:textId="137BA5D0" w:rsidR="004676D6" w:rsidRPr="004676D6" w:rsidRDefault="004676D6" w:rsidP="004676D6">
            <w:pPr>
              <w:pStyle w:val="ListParagraph"/>
              <w:numPr>
                <w:ilvl w:val="0"/>
                <w:numId w:val="19"/>
              </w:numPr>
              <w:spacing w:before="120" w:after="2"/>
              <w:jc w:val="both"/>
              <w:rPr>
                <w:rFonts w:cstheme="minorHAnsi"/>
              </w:rPr>
            </w:pPr>
            <w:r w:rsidRPr="004676D6">
              <w:rPr>
                <w:rFonts w:cstheme="minorHAnsi"/>
              </w:rPr>
              <w:t xml:space="preserve">On </w:t>
            </w:r>
            <w:proofErr w:type="gramStart"/>
            <w:r w:rsidRPr="004676D6">
              <w:rPr>
                <w:rFonts w:cstheme="minorHAnsi"/>
              </w:rPr>
              <w:t>February 13, 2017</w:t>
            </w:r>
            <w:proofErr w:type="gramEnd"/>
            <w:r w:rsidRPr="004676D6">
              <w:rPr>
                <w:rFonts w:cstheme="minorHAnsi"/>
              </w:rPr>
              <w:t xml:space="preserve"> the then-Hearing Examiner (Ryan Vancil, City of Seattle) conducted a public hearing and received a staff report and recommendation (Exhibit 1) on the proposed RUE.  </w:t>
            </w:r>
          </w:p>
          <w:p w14:paraId="44AEFBCB" w14:textId="77777777" w:rsidR="004676D6" w:rsidRPr="004676D6" w:rsidRDefault="004676D6" w:rsidP="004676D6">
            <w:pPr>
              <w:pStyle w:val="ListParagraph"/>
              <w:numPr>
                <w:ilvl w:val="0"/>
                <w:numId w:val="19"/>
              </w:numPr>
              <w:spacing w:before="120" w:after="2"/>
              <w:jc w:val="both"/>
              <w:rPr>
                <w:rFonts w:cstheme="minorHAnsi"/>
              </w:rPr>
            </w:pPr>
            <w:r w:rsidRPr="004676D6">
              <w:rPr>
                <w:rFonts w:cstheme="minorHAnsi"/>
              </w:rPr>
              <w:t xml:space="preserve">On </w:t>
            </w:r>
            <w:proofErr w:type="gramStart"/>
            <w:r w:rsidRPr="004676D6">
              <w:rPr>
                <w:rFonts w:cstheme="minorHAnsi"/>
              </w:rPr>
              <w:t>March 8, 2017</w:t>
            </w:r>
            <w:proofErr w:type="gramEnd"/>
            <w:r w:rsidRPr="004676D6">
              <w:rPr>
                <w:rFonts w:cstheme="minorHAnsi"/>
              </w:rPr>
              <w:t xml:space="preserve"> the then-Hearing Examiner issued Findings of Fact, Conclusions of Law, and Decision (Exhibit 36), remanding the RUE to the City for further review and action.  </w:t>
            </w:r>
          </w:p>
          <w:p w14:paraId="07FE695A" w14:textId="77777777" w:rsidR="004676D6" w:rsidRPr="004676D6" w:rsidRDefault="004676D6" w:rsidP="004676D6">
            <w:pPr>
              <w:pStyle w:val="ListParagraph"/>
              <w:numPr>
                <w:ilvl w:val="0"/>
                <w:numId w:val="19"/>
              </w:numPr>
              <w:spacing w:before="120" w:after="2"/>
              <w:jc w:val="both"/>
              <w:rPr>
                <w:rFonts w:cstheme="minorHAnsi"/>
              </w:rPr>
            </w:pPr>
            <w:r w:rsidRPr="004676D6">
              <w:rPr>
                <w:rFonts w:cstheme="minorHAnsi"/>
              </w:rPr>
              <w:t>Previously filed exhibits 1 through 35 are incorporated into the City’s exhibit list for this staff report and recommendation.</w:t>
            </w:r>
          </w:p>
          <w:p w14:paraId="461C4390" w14:textId="77777777" w:rsidR="004676D6" w:rsidRPr="004676D6" w:rsidRDefault="004676D6" w:rsidP="004676D6">
            <w:pPr>
              <w:pStyle w:val="ListParagraph"/>
              <w:numPr>
                <w:ilvl w:val="0"/>
                <w:numId w:val="19"/>
              </w:numPr>
              <w:spacing w:before="120" w:after="2"/>
              <w:jc w:val="both"/>
              <w:rPr>
                <w:rFonts w:cstheme="minorHAnsi"/>
              </w:rPr>
            </w:pPr>
            <w:r w:rsidRPr="004676D6">
              <w:rPr>
                <w:rFonts w:cstheme="minorHAnsi"/>
              </w:rPr>
              <w:t xml:space="preserve">On </w:t>
            </w:r>
            <w:proofErr w:type="gramStart"/>
            <w:r w:rsidRPr="004676D6">
              <w:rPr>
                <w:rFonts w:cstheme="minorHAnsi"/>
              </w:rPr>
              <w:t>July 20, 2020</w:t>
            </w:r>
            <w:proofErr w:type="gramEnd"/>
            <w:r w:rsidRPr="004676D6">
              <w:rPr>
                <w:rFonts w:cstheme="minorHAnsi"/>
              </w:rPr>
              <w:t xml:space="preserve"> the Hearing Examiner conducted a public hearing and received a staff report and recommendation on the proposed RUE and Zoning Variance.</w:t>
            </w:r>
          </w:p>
          <w:p w14:paraId="4558C90C" w14:textId="77777777" w:rsidR="004676D6" w:rsidRPr="004676D6" w:rsidRDefault="004676D6" w:rsidP="004676D6">
            <w:pPr>
              <w:pStyle w:val="ListParagraph"/>
              <w:numPr>
                <w:ilvl w:val="0"/>
                <w:numId w:val="19"/>
              </w:numPr>
              <w:spacing w:before="120" w:after="2"/>
              <w:jc w:val="both"/>
              <w:rPr>
                <w:rFonts w:cstheme="minorHAnsi"/>
              </w:rPr>
            </w:pPr>
            <w:r w:rsidRPr="004676D6">
              <w:rPr>
                <w:rFonts w:cstheme="minorHAnsi"/>
              </w:rPr>
              <w:t xml:space="preserve">On </w:t>
            </w:r>
            <w:proofErr w:type="gramStart"/>
            <w:r w:rsidRPr="004676D6">
              <w:rPr>
                <w:rFonts w:cstheme="minorHAnsi"/>
              </w:rPr>
              <w:t>August 7, 2020</w:t>
            </w:r>
            <w:proofErr w:type="gramEnd"/>
            <w:r w:rsidRPr="004676D6">
              <w:rPr>
                <w:rFonts w:cstheme="minorHAnsi"/>
              </w:rPr>
              <w:t xml:space="preserve"> the Hearing Examiner issued a decision (Exhibit #), remanding the RUE and Zoning Variance to the City for further review and action.     </w:t>
            </w:r>
          </w:p>
          <w:p w14:paraId="3C37713F" w14:textId="77777777" w:rsidR="00265EDB" w:rsidRDefault="004676D6" w:rsidP="004676D6">
            <w:pPr>
              <w:pStyle w:val="ListParagraph"/>
              <w:numPr>
                <w:ilvl w:val="0"/>
                <w:numId w:val="19"/>
              </w:numPr>
              <w:spacing w:before="120" w:after="2"/>
              <w:jc w:val="both"/>
              <w:rPr>
                <w:rFonts w:cstheme="minorHAnsi"/>
              </w:rPr>
            </w:pPr>
            <w:r w:rsidRPr="004676D6">
              <w:rPr>
                <w:rFonts w:cstheme="minorHAnsi"/>
              </w:rPr>
              <w:t xml:space="preserve">The applicant has provided updated </w:t>
            </w:r>
            <w:proofErr w:type="gramStart"/>
            <w:r w:rsidRPr="004676D6">
              <w:rPr>
                <w:rFonts w:cstheme="minorHAnsi"/>
              </w:rPr>
              <w:t>an</w:t>
            </w:r>
            <w:proofErr w:type="gramEnd"/>
            <w:r w:rsidRPr="004676D6">
              <w:rPr>
                <w:rFonts w:cstheme="minorHAnsi"/>
              </w:rPr>
              <w:t xml:space="preserve"> geotechnical study, site plan, and </w:t>
            </w:r>
            <w:r w:rsidRPr="00265EDB">
              <w:rPr>
                <w:rFonts w:cstheme="minorHAnsi"/>
                <w:highlight w:val="yellow"/>
              </w:rPr>
              <w:t>[...]</w:t>
            </w:r>
            <w:r w:rsidRPr="004676D6">
              <w:rPr>
                <w:rFonts w:cstheme="minorHAnsi"/>
              </w:rPr>
              <w:t xml:space="preserve"> since the drafting of the most recent staff report and recommendation to the Hearing Examiner (Exhibit 1).  This staff report and recommendation is intended to replace Exhibit 1, the original staff report and recommendation to the Hearing Examiner.</w:t>
            </w:r>
          </w:p>
          <w:p w14:paraId="5BE21202" w14:textId="77777777" w:rsidR="00265EDB" w:rsidRPr="00265EDB" w:rsidRDefault="00265EDB" w:rsidP="00265EDB">
            <w:pPr>
              <w:spacing w:before="120" w:after="2"/>
              <w:ind w:left="360"/>
              <w:jc w:val="both"/>
              <w:rPr>
                <w:rFonts w:cstheme="minorHAnsi"/>
                <w:u w:val="single"/>
              </w:rPr>
            </w:pPr>
            <w:r w:rsidRPr="00265EDB">
              <w:rPr>
                <w:rFonts w:cstheme="minorHAnsi"/>
                <w:u w:val="single"/>
              </w:rPr>
              <w:t>Site Description</w:t>
            </w:r>
          </w:p>
          <w:p w14:paraId="07B482A1" w14:textId="10DBD0B3" w:rsidR="00284F27" w:rsidRPr="00265EDB" w:rsidRDefault="00284F27" w:rsidP="00265EDB">
            <w:pPr>
              <w:spacing w:before="120" w:after="2"/>
              <w:ind w:left="360"/>
              <w:jc w:val="both"/>
              <w:rPr>
                <w:rFonts w:cstheme="minorHAnsi"/>
              </w:rPr>
            </w:pPr>
            <w:r w:rsidRPr="00265EDB">
              <w:rPr>
                <w:rFonts w:cstheme="minorHAnsi"/>
              </w:rPr>
              <w:t>Outcome of first hearing</w:t>
            </w:r>
          </w:p>
          <w:p w14:paraId="49E28F49" w14:textId="069FC42B" w:rsidR="00284F27" w:rsidRPr="00546EBE" w:rsidRDefault="00284F27" w:rsidP="00546EBE">
            <w:pPr>
              <w:pStyle w:val="ListParagraph"/>
              <w:numPr>
                <w:ilvl w:val="0"/>
                <w:numId w:val="19"/>
              </w:numPr>
              <w:spacing w:before="120" w:after="2"/>
              <w:jc w:val="both"/>
              <w:rPr>
                <w:rFonts w:cstheme="minorHAnsi"/>
              </w:rPr>
            </w:pPr>
            <w:r w:rsidRPr="00546EBE">
              <w:rPr>
                <w:rFonts w:cstheme="minorHAnsi"/>
              </w:rPr>
              <w:t>Outcome of second hearing</w:t>
            </w:r>
          </w:p>
          <w:p w14:paraId="2B229D63" w14:textId="77777777" w:rsidR="00EE543E" w:rsidRPr="00546EBE" w:rsidRDefault="00EE543E" w:rsidP="00546EBE">
            <w:pPr>
              <w:pStyle w:val="ListParagraph"/>
              <w:numPr>
                <w:ilvl w:val="0"/>
                <w:numId w:val="19"/>
              </w:numPr>
              <w:spacing w:before="120" w:after="2"/>
              <w:jc w:val="both"/>
              <w:rPr>
                <w:rFonts w:cstheme="minorHAnsi"/>
              </w:rPr>
            </w:pPr>
            <w:r w:rsidRPr="00546EBE">
              <w:rPr>
                <w:rFonts w:cstheme="minorHAnsi"/>
              </w:rPr>
              <w:t>NOA, review process, comment period, combined SEPA comment period (followed process perfectly</w:t>
            </w:r>
          </w:p>
          <w:p w14:paraId="1C03D337" w14:textId="2E0E5894" w:rsidR="00E75466" w:rsidRPr="00546EBE" w:rsidRDefault="00EE543E" w:rsidP="00546EBE">
            <w:pPr>
              <w:pStyle w:val="ListParagraph"/>
              <w:numPr>
                <w:ilvl w:val="0"/>
                <w:numId w:val="19"/>
              </w:numPr>
              <w:spacing w:before="120" w:after="2"/>
              <w:rPr>
                <w:rFonts w:cstheme="minorHAnsi"/>
              </w:rPr>
            </w:pPr>
            <w:r w:rsidRPr="00546EBE">
              <w:rPr>
                <w:rFonts w:cstheme="minorHAnsi"/>
              </w:rPr>
              <w:t>OPTIONAL</w:t>
            </w:r>
            <w:r w:rsidR="00E75466" w:rsidRPr="00546EBE">
              <w:rPr>
                <w:rFonts w:cstheme="minorHAnsi"/>
              </w:rPr>
              <w:t xml:space="preserve"> site visit finding (staff name, date visited, pictures as an </w:t>
            </w:r>
            <w:proofErr w:type="gramStart"/>
            <w:r w:rsidR="00E75466" w:rsidRPr="00546EBE">
              <w:rPr>
                <w:rFonts w:cstheme="minorHAnsi"/>
              </w:rPr>
              <w:t>exhibit / observations</w:t>
            </w:r>
            <w:proofErr w:type="gramEnd"/>
            <w:r w:rsidR="00E75466" w:rsidRPr="00546EBE">
              <w:rPr>
                <w:rFonts w:cstheme="minorHAnsi"/>
              </w:rPr>
              <w:t xml:space="preserve"> as a finding)</w:t>
            </w:r>
          </w:p>
          <w:p w14:paraId="4F4C9E20" w14:textId="77777777" w:rsidR="00E75466" w:rsidRPr="00546EBE" w:rsidRDefault="00E75466" w:rsidP="00546EBE">
            <w:pPr>
              <w:pStyle w:val="ListParagraph"/>
              <w:numPr>
                <w:ilvl w:val="0"/>
                <w:numId w:val="19"/>
              </w:numPr>
              <w:spacing w:before="120" w:after="2"/>
              <w:rPr>
                <w:rFonts w:cstheme="minorHAnsi"/>
              </w:rPr>
            </w:pPr>
            <w:r w:rsidRPr="00546EBE">
              <w:rPr>
                <w:rFonts w:cstheme="minorHAnsi"/>
              </w:rPr>
              <w:t>Public comment and brief staff response</w:t>
            </w:r>
          </w:p>
          <w:p w14:paraId="1F1DC9D9" w14:textId="77777777" w:rsidR="00E75466" w:rsidRPr="00546EBE" w:rsidRDefault="00E75466" w:rsidP="00546EBE">
            <w:pPr>
              <w:pStyle w:val="ListParagraph"/>
              <w:numPr>
                <w:ilvl w:val="0"/>
                <w:numId w:val="19"/>
              </w:numPr>
              <w:spacing w:before="120" w:after="2"/>
              <w:rPr>
                <w:rFonts w:cstheme="minorHAnsi"/>
              </w:rPr>
            </w:pPr>
            <w:r w:rsidRPr="00546EBE">
              <w:rPr>
                <w:rFonts w:cstheme="minorHAnsi"/>
              </w:rPr>
              <w:t>NOPH (notice of public hearing) – if required</w:t>
            </w:r>
          </w:p>
          <w:p w14:paraId="55B9D91C" w14:textId="3A3560D1" w:rsidR="00E75466" w:rsidRPr="00546EBE" w:rsidRDefault="00E75466" w:rsidP="00546EBE">
            <w:pPr>
              <w:pStyle w:val="ListParagraph"/>
              <w:numPr>
                <w:ilvl w:val="0"/>
                <w:numId w:val="19"/>
              </w:numPr>
              <w:spacing w:before="120" w:after="2"/>
              <w:rPr>
                <w:rFonts w:cstheme="minorHAnsi"/>
              </w:rPr>
            </w:pPr>
            <w:r w:rsidRPr="00546EBE">
              <w:rPr>
                <w:rFonts w:cstheme="minorHAnsi"/>
              </w:rPr>
              <w:t>Public hearing findings – pre-filing, scheduled date, prehearing conference – if required</w:t>
            </w:r>
          </w:p>
          <w:p w14:paraId="2CCFF86F" w14:textId="2CACC3B4" w:rsidR="00284F27" w:rsidRPr="00546EBE" w:rsidRDefault="00284F27" w:rsidP="00546EBE">
            <w:pPr>
              <w:pStyle w:val="ListParagraph"/>
              <w:numPr>
                <w:ilvl w:val="0"/>
                <w:numId w:val="19"/>
              </w:numPr>
              <w:spacing w:before="120" w:after="2"/>
              <w:rPr>
                <w:rFonts w:cstheme="minorHAnsi"/>
              </w:rPr>
            </w:pPr>
            <w:r w:rsidRPr="00546EBE">
              <w:rPr>
                <w:rFonts w:cstheme="minorHAnsi"/>
              </w:rPr>
              <w:t>Site Description</w:t>
            </w:r>
          </w:p>
          <w:p w14:paraId="7ADCAC40" w14:textId="349F8A34" w:rsidR="00284F27" w:rsidRPr="00546EBE" w:rsidRDefault="00284F27" w:rsidP="00546EBE">
            <w:pPr>
              <w:pStyle w:val="ListParagraph"/>
              <w:numPr>
                <w:ilvl w:val="0"/>
                <w:numId w:val="19"/>
              </w:numPr>
              <w:spacing w:before="120" w:after="2"/>
              <w:rPr>
                <w:rFonts w:cstheme="minorHAnsi"/>
              </w:rPr>
            </w:pPr>
            <w:r w:rsidRPr="00546EBE">
              <w:rPr>
                <w:rFonts w:cstheme="minorHAnsi"/>
              </w:rPr>
              <w:t>Project Description</w:t>
            </w:r>
          </w:p>
          <w:p w14:paraId="6785BE7C" w14:textId="245EB08A" w:rsidR="00822135" w:rsidRPr="00546EBE" w:rsidRDefault="00822135" w:rsidP="00546EBE">
            <w:pPr>
              <w:pStyle w:val="ListParagraph"/>
              <w:numPr>
                <w:ilvl w:val="0"/>
                <w:numId w:val="19"/>
              </w:numPr>
              <w:spacing w:before="120" w:after="2"/>
              <w:rPr>
                <w:rFonts w:cstheme="minorHAnsi"/>
              </w:rPr>
            </w:pPr>
            <w:r w:rsidRPr="00546EBE">
              <w:rPr>
                <w:rFonts w:cstheme="minorHAnsi"/>
              </w:rPr>
              <w:t>Critical Areas</w:t>
            </w:r>
          </w:p>
          <w:p w14:paraId="21D8FE18" w14:textId="6BE82D8C" w:rsidR="00822135" w:rsidRPr="00546EBE" w:rsidRDefault="00822135" w:rsidP="00546EBE">
            <w:pPr>
              <w:pStyle w:val="ListParagraph"/>
              <w:numPr>
                <w:ilvl w:val="0"/>
                <w:numId w:val="19"/>
              </w:numPr>
              <w:spacing w:before="120" w:after="2"/>
              <w:rPr>
                <w:rFonts w:cstheme="minorHAnsi"/>
              </w:rPr>
            </w:pPr>
            <w:r w:rsidRPr="00546EBE">
              <w:rPr>
                <w:rFonts w:cstheme="minorHAnsi"/>
              </w:rPr>
              <w:t>GHAs</w:t>
            </w:r>
          </w:p>
          <w:p w14:paraId="5FA76EAE" w14:textId="1C98B0C5" w:rsidR="00822135" w:rsidRPr="00546EBE" w:rsidRDefault="00822135" w:rsidP="00546EBE">
            <w:pPr>
              <w:pStyle w:val="ListParagraph"/>
              <w:numPr>
                <w:ilvl w:val="0"/>
                <w:numId w:val="19"/>
              </w:numPr>
              <w:spacing w:before="120" w:after="2"/>
              <w:rPr>
                <w:rFonts w:cstheme="minorHAnsi"/>
              </w:rPr>
            </w:pPr>
            <w:r w:rsidRPr="00546EBE">
              <w:rPr>
                <w:rFonts w:cstheme="minorHAnsi"/>
              </w:rPr>
              <w:t>Wetland</w:t>
            </w:r>
          </w:p>
          <w:p w14:paraId="28C22513" w14:textId="6C09C7E7" w:rsidR="00822135" w:rsidRPr="00546EBE" w:rsidRDefault="00822135" w:rsidP="00546EBE">
            <w:pPr>
              <w:pStyle w:val="ListParagraph"/>
              <w:numPr>
                <w:ilvl w:val="0"/>
                <w:numId w:val="19"/>
              </w:numPr>
              <w:spacing w:before="120" w:after="2"/>
              <w:rPr>
                <w:rFonts w:cstheme="minorHAnsi"/>
              </w:rPr>
            </w:pPr>
            <w:r w:rsidRPr="00546EBE">
              <w:rPr>
                <w:rFonts w:cstheme="minorHAnsi"/>
              </w:rPr>
              <w:t>Watercourses</w:t>
            </w:r>
          </w:p>
          <w:p w14:paraId="4E46CFDE" w14:textId="28B5B49C" w:rsidR="00ED5A38" w:rsidRPr="00546EBE" w:rsidRDefault="00ED5A38" w:rsidP="00546EBE">
            <w:pPr>
              <w:pStyle w:val="ListParagraph"/>
              <w:numPr>
                <w:ilvl w:val="0"/>
                <w:numId w:val="19"/>
              </w:numPr>
              <w:spacing w:before="120" w:after="2"/>
              <w:rPr>
                <w:rFonts w:cstheme="minorHAnsi"/>
              </w:rPr>
            </w:pPr>
            <w:r w:rsidRPr="00546EBE">
              <w:rPr>
                <w:rFonts w:cstheme="minorHAnsi"/>
              </w:rPr>
              <w:lastRenderedPageBreak/>
              <w:t>Procedural History</w:t>
            </w:r>
          </w:p>
          <w:p w14:paraId="5DDE918C" w14:textId="3D11DCF1" w:rsidR="0024331D" w:rsidRPr="00546EBE" w:rsidRDefault="0024331D" w:rsidP="00546EBE">
            <w:pPr>
              <w:pStyle w:val="ListParagraph"/>
              <w:numPr>
                <w:ilvl w:val="0"/>
                <w:numId w:val="19"/>
              </w:numPr>
              <w:spacing w:before="120" w:after="2"/>
              <w:rPr>
                <w:rFonts w:cstheme="minorHAnsi"/>
              </w:rPr>
            </w:pPr>
            <w:r w:rsidRPr="00546EBE">
              <w:rPr>
                <w:rFonts w:cstheme="minorHAnsi"/>
              </w:rPr>
              <w:t>SEPA Review and Determination</w:t>
            </w:r>
          </w:p>
          <w:p w14:paraId="2CBE1D94" w14:textId="1F30953E" w:rsidR="00DD223D" w:rsidRPr="00546EBE" w:rsidRDefault="002E2F47" w:rsidP="00546EBE">
            <w:pPr>
              <w:pStyle w:val="ListParagraph"/>
              <w:numPr>
                <w:ilvl w:val="0"/>
                <w:numId w:val="19"/>
              </w:numPr>
              <w:spacing w:before="120" w:after="2"/>
              <w:ind w:right="-115"/>
              <w:jc w:val="both"/>
              <w:rPr>
                <w:rFonts w:cstheme="minorHAnsi"/>
              </w:rPr>
            </w:pPr>
            <w:r w:rsidRPr="00546EBE">
              <w:rPr>
                <w:rFonts w:cstheme="minorHAnsi"/>
              </w:rPr>
              <w:t xml:space="preserve">The hearing examiner may approve the application for a reasonable use exception only if the development proposal meets </w:t>
            </w:r>
            <w:proofErr w:type="gramStart"/>
            <w:r w:rsidRPr="00546EBE">
              <w:rPr>
                <w:rFonts w:cstheme="minorHAnsi"/>
              </w:rPr>
              <w:t>all of</w:t>
            </w:r>
            <w:proofErr w:type="gramEnd"/>
            <w:r w:rsidRPr="00546EBE">
              <w:rPr>
                <w:rFonts w:cstheme="minorHAnsi"/>
              </w:rPr>
              <w:t xml:space="preserve"> the following criteria:</w:t>
            </w:r>
          </w:p>
        </w:tc>
      </w:tr>
      <w:tr w:rsidR="001F4A5E" w:rsidRPr="00311156" w14:paraId="18A3F6B8" w14:textId="77777777" w:rsidTr="001F4A5E">
        <w:tc>
          <w:tcPr>
            <w:tcW w:w="9792" w:type="dxa"/>
            <w:gridSpan w:val="2"/>
            <w:shd w:val="clear" w:color="auto" w:fill="auto"/>
          </w:tcPr>
          <w:p w14:paraId="67233653" w14:textId="0F05D60D" w:rsidR="008D3CD9" w:rsidRPr="00546EBE" w:rsidRDefault="00956E8B" w:rsidP="00546EBE">
            <w:pPr>
              <w:pStyle w:val="ListParagraph"/>
              <w:numPr>
                <w:ilvl w:val="1"/>
                <w:numId w:val="19"/>
              </w:numPr>
              <w:spacing w:before="120" w:after="2"/>
              <w:jc w:val="both"/>
              <w:rPr>
                <w:rFonts w:cstheme="minorHAnsi"/>
                <w:bCs/>
              </w:rPr>
            </w:pPr>
            <w:r w:rsidRPr="00546EBE">
              <w:rPr>
                <w:rFonts w:cstheme="minorHAnsi"/>
                <w:bCs/>
              </w:rPr>
              <w:lastRenderedPageBreak/>
              <w:t xml:space="preserve">MICC 19.07.140(A)(1) </w:t>
            </w:r>
            <w:r w:rsidR="008D3CD9" w:rsidRPr="00546EBE">
              <w:rPr>
                <w:rFonts w:cstheme="minorHAnsi"/>
                <w:bCs/>
              </w:rPr>
              <w:t xml:space="preserve">The application of this chapter would deny all reasonable use of the </w:t>
            </w:r>
            <w:proofErr w:type="gramStart"/>
            <w:r w:rsidR="008D3CD9" w:rsidRPr="00546EBE">
              <w:rPr>
                <w:rFonts w:cstheme="minorHAnsi"/>
                <w:bCs/>
              </w:rPr>
              <w:t>property;</w:t>
            </w:r>
            <w:proofErr w:type="gramEnd"/>
          </w:p>
          <w:p w14:paraId="6DF1688B" w14:textId="5F8CE3E3" w:rsidR="002F48D3" w:rsidRDefault="002F48D3" w:rsidP="00B36347">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r w:rsidR="000D3BFD">
              <w:rPr>
                <w:rFonts w:cstheme="minorHAnsi"/>
                <w:bCs/>
              </w:rPr>
              <w:t xml:space="preserve">The subject site is a </w:t>
            </w:r>
            <w:proofErr w:type="gramStart"/>
            <w:r w:rsidR="000D3BFD">
              <w:rPr>
                <w:rFonts w:cstheme="minorHAnsi"/>
                <w:bCs/>
              </w:rPr>
              <w:t>legally-created</w:t>
            </w:r>
            <w:proofErr w:type="gramEnd"/>
            <w:r w:rsidR="000D3BFD">
              <w:rPr>
                <w:rFonts w:cstheme="minorHAnsi"/>
                <w:bCs/>
              </w:rPr>
              <w:t xml:space="preserve">, residential lot, </w:t>
            </w:r>
            <w:r w:rsidR="000D3BFD" w:rsidRPr="000D3BFD">
              <w:rPr>
                <w:rFonts w:cstheme="minorHAnsi"/>
                <w:bCs/>
              </w:rPr>
              <w:t xml:space="preserve">with a zoning designation and land use designation intended to allow the construction of </w:t>
            </w:r>
            <w:r w:rsidR="000D3BFD">
              <w:rPr>
                <w:rFonts w:cstheme="minorHAnsi"/>
                <w:bCs/>
              </w:rPr>
              <w:t xml:space="preserve">a </w:t>
            </w:r>
            <w:r w:rsidR="000D3BFD" w:rsidRPr="000D3BFD">
              <w:rPr>
                <w:rFonts w:cstheme="minorHAnsi"/>
                <w:bCs/>
              </w:rPr>
              <w:t>single-family residence</w:t>
            </w:r>
            <w:r w:rsidR="000D3BFD">
              <w:rPr>
                <w:rFonts w:cstheme="minorHAnsi"/>
                <w:bCs/>
              </w:rPr>
              <w:t>.</w:t>
            </w:r>
            <w:r w:rsidR="004E09F9">
              <w:t xml:space="preserve"> </w:t>
            </w:r>
            <w:r w:rsidR="004E09F9" w:rsidRPr="004E09F9">
              <w:rPr>
                <w:rFonts w:cstheme="minorHAnsi"/>
                <w:bCs/>
              </w:rPr>
              <w:t>“Reasonable Use” is defined by MICC 19.16.010; the definition</w:t>
            </w:r>
            <w:r w:rsidR="00037045">
              <w:rPr>
                <w:rFonts w:cstheme="minorHAnsi"/>
                <w:bCs/>
              </w:rPr>
              <w:t xml:space="preserve"> notes that “[t]</w:t>
            </w:r>
            <w:r w:rsidR="00037045" w:rsidRPr="00037045">
              <w:rPr>
                <w:rFonts w:cstheme="minorHAnsi"/>
                <w:bCs/>
              </w:rPr>
              <w:t>he decisionmaker must balance the public’s interests against the owner’s interests</w:t>
            </w:r>
            <w:r w:rsidR="000B359D">
              <w:rPr>
                <w:rFonts w:cstheme="minorHAnsi"/>
                <w:bCs/>
              </w:rPr>
              <w:t>” and that “[p]</w:t>
            </w:r>
            <w:proofErr w:type="spellStart"/>
            <w:r w:rsidR="000B359D" w:rsidRPr="000B359D">
              <w:rPr>
                <w:rFonts w:cstheme="minorHAnsi"/>
                <w:bCs/>
              </w:rPr>
              <w:t>ublic</w:t>
            </w:r>
            <w:proofErr w:type="spellEnd"/>
            <w:r w:rsidR="000B359D" w:rsidRPr="000B359D">
              <w:rPr>
                <w:rFonts w:cstheme="minorHAnsi"/>
                <w:bCs/>
              </w:rPr>
              <w:t xml:space="preserve"> interest factors include the seriousness of the public problem, the extent to which the land involved contributes to the problem, the degree to which the regulation solves the problem, and the feasibility of less oppressive solutions.</w:t>
            </w:r>
          </w:p>
          <w:p w14:paraId="3B0F59BA" w14:textId="3AE31CE0" w:rsidR="00B36347" w:rsidRPr="00B36347" w:rsidRDefault="00B36347" w:rsidP="00B36347">
            <w:pPr>
              <w:pStyle w:val="ListParagraph"/>
              <w:numPr>
                <w:ilvl w:val="2"/>
                <w:numId w:val="3"/>
              </w:numPr>
              <w:spacing w:before="120" w:after="2"/>
              <w:jc w:val="both"/>
              <w:rPr>
                <w:rFonts w:cstheme="minorHAnsi"/>
                <w:bCs/>
              </w:rPr>
            </w:pPr>
            <w:r>
              <w:rPr>
                <w:rFonts w:cstheme="minorHAnsi"/>
                <w:b/>
              </w:rPr>
              <w:t>The site contains critical areas</w:t>
            </w:r>
          </w:p>
          <w:p w14:paraId="35D7A108" w14:textId="07917473" w:rsidR="00B36347" w:rsidRPr="00B36347" w:rsidRDefault="00B36347" w:rsidP="00B36347">
            <w:pPr>
              <w:pStyle w:val="ListParagraph"/>
              <w:numPr>
                <w:ilvl w:val="2"/>
                <w:numId w:val="3"/>
              </w:numPr>
              <w:spacing w:before="120" w:after="2"/>
              <w:jc w:val="both"/>
              <w:rPr>
                <w:rFonts w:cstheme="minorHAnsi"/>
                <w:bCs/>
              </w:rPr>
            </w:pPr>
            <w:r>
              <w:rPr>
                <w:rFonts w:cstheme="minorHAnsi"/>
                <w:b/>
                <w:bCs/>
              </w:rPr>
              <w:t>Impacts of building on critical areas are...</w:t>
            </w:r>
          </w:p>
          <w:p w14:paraId="6A68243A" w14:textId="24F3DB71" w:rsidR="00B36347" w:rsidRPr="002C15C4" w:rsidRDefault="00B36347" w:rsidP="00B36347">
            <w:pPr>
              <w:pStyle w:val="ListParagraph"/>
              <w:numPr>
                <w:ilvl w:val="2"/>
                <w:numId w:val="3"/>
              </w:numPr>
              <w:spacing w:before="120" w:after="2"/>
              <w:jc w:val="both"/>
              <w:rPr>
                <w:rFonts w:cstheme="minorHAnsi"/>
                <w:bCs/>
              </w:rPr>
            </w:pPr>
            <w:r>
              <w:rPr>
                <w:rFonts w:cstheme="minorHAnsi"/>
                <w:b/>
                <w:bCs/>
              </w:rPr>
              <w:t>Regulations address the potential impact of development on critical areas by...</w:t>
            </w:r>
          </w:p>
          <w:p w14:paraId="3A36368C" w14:textId="0C5AD768" w:rsidR="002C15C4" w:rsidRDefault="002C15C4" w:rsidP="00B36347">
            <w:pPr>
              <w:pStyle w:val="ListParagraph"/>
              <w:numPr>
                <w:ilvl w:val="2"/>
                <w:numId w:val="3"/>
              </w:numPr>
              <w:spacing w:before="120" w:after="2"/>
              <w:jc w:val="both"/>
              <w:rPr>
                <w:rFonts w:cstheme="minorHAnsi"/>
                <w:bCs/>
              </w:rPr>
            </w:pPr>
            <w:r>
              <w:rPr>
                <w:rFonts w:cstheme="minorHAnsi"/>
                <w:bCs/>
              </w:rPr>
              <w:t xml:space="preserve">However, application of these regulations would prevent the construction of a </w:t>
            </w:r>
            <w:proofErr w:type="spellStart"/>
            <w:r>
              <w:rPr>
                <w:rFonts w:cstheme="minorHAnsi"/>
                <w:bCs/>
              </w:rPr>
              <w:t>sngle</w:t>
            </w:r>
            <w:proofErr w:type="spellEnd"/>
            <w:r>
              <w:rPr>
                <w:rFonts w:cstheme="minorHAnsi"/>
                <w:bCs/>
              </w:rPr>
              <w:t>-family home.</w:t>
            </w:r>
          </w:p>
          <w:p w14:paraId="1406647C" w14:textId="51191120" w:rsidR="002C15C4" w:rsidRDefault="002C15C4" w:rsidP="00B36347">
            <w:pPr>
              <w:pStyle w:val="ListParagraph"/>
              <w:numPr>
                <w:ilvl w:val="2"/>
                <w:numId w:val="3"/>
              </w:numPr>
              <w:spacing w:before="120" w:after="2"/>
              <w:jc w:val="both"/>
              <w:rPr>
                <w:rFonts w:cstheme="minorHAnsi"/>
                <w:bCs/>
              </w:rPr>
            </w:pPr>
            <w:r>
              <w:rPr>
                <w:rFonts w:cstheme="minorHAnsi"/>
                <w:bCs/>
              </w:rPr>
              <w:t>Less-oppressive solutions include...</w:t>
            </w:r>
          </w:p>
          <w:p w14:paraId="49B2E26C" w14:textId="1C26DA79" w:rsidR="00E84254" w:rsidRDefault="00E84254" w:rsidP="00B36347">
            <w:pPr>
              <w:pStyle w:val="ListParagraph"/>
              <w:numPr>
                <w:ilvl w:val="2"/>
                <w:numId w:val="3"/>
              </w:numPr>
              <w:spacing w:before="120" w:after="2"/>
              <w:jc w:val="both"/>
              <w:rPr>
                <w:rFonts w:cstheme="minorHAnsi"/>
                <w:bCs/>
              </w:rPr>
            </w:pPr>
            <w:r>
              <w:rPr>
                <w:rFonts w:cstheme="minorHAnsi"/>
                <w:bCs/>
              </w:rPr>
              <w:t>The applicant has proposed to ...</w:t>
            </w:r>
          </w:p>
          <w:p w14:paraId="199808B6" w14:textId="761BF729" w:rsidR="00E84254" w:rsidRPr="00546EBE" w:rsidRDefault="00E84254" w:rsidP="00B36347">
            <w:pPr>
              <w:pStyle w:val="ListParagraph"/>
              <w:numPr>
                <w:ilvl w:val="2"/>
                <w:numId w:val="3"/>
              </w:numPr>
              <w:spacing w:before="120" w:after="2"/>
              <w:jc w:val="both"/>
              <w:rPr>
                <w:rFonts w:cstheme="minorHAnsi"/>
                <w:bCs/>
              </w:rPr>
            </w:pPr>
            <w:r>
              <w:rPr>
                <w:rFonts w:cstheme="minorHAnsi"/>
                <w:bCs/>
              </w:rPr>
              <w:t>The impacts of not meet the CAO are mitigated by...</w:t>
            </w:r>
          </w:p>
          <w:p w14:paraId="7D0B6FC5" w14:textId="38F83540" w:rsidR="008D3CD9" w:rsidRPr="00546EBE" w:rsidRDefault="00A20A30" w:rsidP="00546EBE">
            <w:pPr>
              <w:pStyle w:val="ListParagraph"/>
              <w:numPr>
                <w:ilvl w:val="1"/>
                <w:numId w:val="19"/>
              </w:numPr>
              <w:spacing w:before="120" w:after="2"/>
              <w:jc w:val="both"/>
              <w:rPr>
                <w:rFonts w:cstheme="minorHAnsi"/>
                <w:bCs/>
              </w:rPr>
            </w:pPr>
            <w:r w:rsidRPr="00546EBE">
              <w:rPr>
                <w:rFonts w:cstheme="minorHAnsi"/>
                <w:bCs/>
              </w:rPr>
              <w:t xml:space="preserve">MICC 19.07.140(A)(2) </w:t>
            </w:r>
            <w:r w:rsidR="008D3CD9" w:rsidRPr="00546EBE">
              <w:rPr>
                <w:rFonts w:cstheme="minorHAnsi"/>
                <w:bCs/>
              </w:rPr>
              <w:t xml:space="preserve">There is no other reasonable use with less impact on the critical </w:t>
            </w:r>
            <w:proofErr w:type="gramStart"/>
            <w:r w:rsidR="008D3CD9" w:rsidRPr="00546EBE">
              <w:rPr>
                <w:rFonts w:cstheme="minorHAnsi"/>
                <w:bCs/>
              </w:rPr>
              <w:t>area;</w:t>
            </w:r>
            <w:proofErr w:type="gramEnd"/>
          </w:p>
          <w:p w14:paraId="24989FD6" w14:textId="62679439" w:rsidR="002F48D3" w:rsidRPr="00546EBE" w:rsidRDefault="002F48D3" w:rsidP="00E84254">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r w:rsidR="00E84254" w:rsidRPr="00E84254">
              <w:rPr>
                <w:rFonts w:cstheme="minorHAnsi"/>
                <w:bCs/>
              </w:rPr>
              <w:t xml:space="preserve">Other allowed uses in the R-15 zoning designation include, but are not limited to, private recreational areas, public schools, daycares, preschools, and places </w:t>
            </w:r>
            <w:proofErr w:type="gramStart"/>
            <w:r w:rsidR="00E84254" w:rsidRPr="00E84254">
              <w:rPr>
                <w:rFonts w:cstheme="minorHAnsi"/>
                <w:bCs/>
              </w:rPr>
              <w:t>of  worship</w:t>
            </w:r>
            <w:proofErr w:type="gramEnd"/>
            <w:r w:rsidR="00E84254" w:rsidRPr="00E84254">
              <w:rPr>
                <w:rFonts w:cstheme="minorHAnsi"/>
                <w:bCs/>
              </w:rPr>
              <w:t>.  The creation of any of these allowed uses would also require an alteration of the wetlands, watercourses, and associated buffers on the subject site, and there is no other reasonable use with less impact on the critical area. The proposed single-family residence is designed to minimize impacts to the wetland, watercourse, and associated buffers.  This criterion is met.</w:t>
            </w:r>
          </w:p>
          <w:p w14:paraId="3A4D639F" w14:textId="57F9D57F" w:rsidR="008D3CD9" w:rsidRPr="00546EBE" w:rsidRDefault="00A20A30" w:rsidP="00546EBE">
            <w:pPr>
              <w:pStyle w:val="ListParagraph"/>
              <w:numPr>
                <w:ilvl w:val="1"/>
                <w:numId w:val="19"/>
              </w:numPr>
              <w:spacing w:before="120" w:after="2"/>
              <w:jc w:val="both"/>
              <w:rPr>
                <w:rFonts w:cstheme="minorHAnsi"/>
                <w:bCs/>
              </w:rPr>
            </w:pPr>
            <w:r w:rsidRPr="00546EBE">
              <w:rPr>
                <w:rFonts w:cstheme="minorHAnsi"/>
                <w:bCs/>
              </w:rPr>
              <w:t xml:space="preserve">MICC 19.07.140(A)(3) </w:t>
            </w:r>
            <w:r w:rsidR="008D3CD9" w:rsidRPr="00546EBE">
              <w:rPr>
                <w:rFonts w:cstheme="minorHAnsi"/>
                <w:bCs/>
              </w:rPr>
              <w:t xml:space="preserve">Any alteration to critical areas and associated buffers is the minimum necessary to allow for reasonable use of the </w:t>
            </w:r>
            <w:proofErr w:type="gramStart"/>
            <w:r w:rsidR="008D3CD9" w:rsidRPr="00546EBE">
              <w:rPr>
                <w:rFonts w:cstheme="minorHAnsi"/>
                <w:bCs/>
              </w:rPr>
              <w:t>property;</w:t>
            </w:r>
            <w:proofErr w:type="gramEnd"/>
          </w:p>
          <w:p w14:paraId="0E388FDD" w14:textId="4E6C1AB8" w:rsidR="002F48D3" w:rsidRDefault="002F48D3" w:rsidP="0062639D">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2449D159" w14:textId="659A6147" w:rsidR="0062639D" w:rsidRPr="0062639D" w:rsidRDefault="0062639D" w:rsidP="0062639D">
            <w:pPr>
              <w:pStyle w:val="ListParagraph"/>
              <w:numPr>
                <w:ilvl w:val="2"/>
                <w:numId w:val="3"/>
              </w:numPr>
              <w:spacing w:before="120" w:after="2"/>
              <w:jc w:val="both"/>
              <w:rPr>
                <w:rFonts w:cstheme="minorHAnsi"/>
                <w:bCs/>
              </w:rPr>
            </w:pPr>
            <w:r>
              <w:rPr>
                <w:rFonts w:cstheme="minorHAnsi"/>
                <w:b/>
              </w:rPr>
              <w:t>Square footage within wetland &amp; watercourse:</w:t>
            </w:r>
          </w:p>
          <w:p w14:paraId="16F50957" w14:textId="4055D2FA" w:rsidR="0062639D" w:rsidRPr="00546EBE" w:rsidRDefault="0062639D" w:rsidP="0062639D">
            <w:pPr>
              <w:pStyle w:val="ListParagraph"/>
              <w:numPr>
                <w:ilvl w:val="2"/>
                <w:numId w:val="3"/>
              </w:numPr>
              <w:spacing w:before="120" w:after="2"/>
              <w:jc w:val="both"/>
              <w:rPr>
                <w:rFonts w:cstheme="minorHAnsi"/>
                <w:bCs/>
              </w:rPr>
            </w:pPr>
            <w:r>
              <w:rPr>
                <w:rFonts w:cstheme="minorHAnsi"/>
                <w:b/>
              </w:rPr>
              <w:t>Square footage within wetland</w:t>
            </w:r>
            <w:r>
              <w:rPr>
                <w:rFonts w:cstheme="minorHAnsi"/>
                <w:b/>
              </w:rPr>
              <w:t xml:space="preserve"> &amp; </w:t>
            </w:r>
            <w:r>
              <w:rPr>
                <w:rFonts w:cstheme="minorHAnsi"/>
                <w:b/>
              </w:rPr>
              <w:t>watercourse</w:t>
            </w:r>
            <w:r>
              <w:rPr>
                <w:rFonts w:cstheme="minorHAnsi"/>
                <w:b/>
              </w:rPr>
              <w:t xml:space="preserve"> buffer:</w:t>
            </w:r>
          </w:p>
          <w:p w14:paraId="68F8417B" w14:textId="3BE4E667" w:rsidR="0062639D" w:rsidRPr="00546EBE" w:rsidRDefault="00174D05" w:rsidP="0062639D">
            <w:pPr>
              <w:pStyle w:val="ListParagraph"/>
              <w:numPr>
                <w:ilvl w:val="2"/>
                <w:numId w:val="3"/>
              </w:numPr>
              <w:spacing w:before="120" w:after="2"/>
              <w:jc w:val="both"/>
              <w:rPr>
                <w:rFonts w:cstheme="minorHAnsi"/>
                <w:bCs/>
              </w:rPr>
            </w:pPr>
            <w:r>
              <w:rPr>
                <w:rFonts w:cstheme="minorHAnsi"/>
                <w:bCs/>
              </w:rPr>
              <w:t>Is locating the house further from the wetland possible?</w:t>
            </w:r>
            <w:r w:rsidR="008863FC">
              <w:rPr>
                <w:rFonts w:cstheme="minorHAnsi"/>
                <w:bCs/>
              </w:rPr>
              <w:t xml:space="preserve"> What would the implications of this be? (</w:t>
            </w:r>
            <w:proofErr w:type="gramStart"/>
            <w:r w:rsidR="008863FC">
              <w:rPr>
                <w:rFonts w:cstheme="minorHAnsi"/>
                <w:bCs/>
              </w:rPr>
              <w:t>e.g.</w:t>
            </w:r>
            <w:proofErr w:type="gramEnd"/>
            <w:r w:rsidR="008863FC">
              <w:rPr>
                <w:rFonts w:cstheme="minorHAnsi"/>
                <w:bCs/>
              </w:rPr>
              <w:t xml:space="preserve"> cutting into steep slopes?)</w:t>
            </w:r>
          </w:p>
          <w:p w14:paraId="2C8EB5AF" w14:textId="12D41423" w:rsidR="008D3CD9" w:rsidRPr="00546EBE" w:rsidRDefault="00A20A30" w:rsidP="00546EBE">
            <w:pPr>
              <w:pStyle w:val="ListParagraph"/>
              <w:numPr>
                <w:ilvl w:val="1"/>
                <w:numId w:val="19"/>
              </w:numPr>
              <w:spacing w:before="120" w:after="2"/>
              <w:jc w:val="both"/>
              <w:rPr>
                <w:rFonts w:cstheme="minorHAnsi"/>
                <w:bCs/>
              </w:rPr>
            </w:pPr>
            <w:r w:rsidRPr="00546EBE">
              <w:rPr>
                <w:rFonts w:cstheme="minorHAnsi"/>
                <w:bCs/>
              </w:rPr>
              <w:t xml:space="preserve">MICC 19.07.140(A)(4) </w:t>
            </w:r>
            <w:r w:rsidR="008D3CD9" w:rsidRPr="00546EBE">
              <w:rPr>
                <w:rFonts w:cstheme="minorHAnsi"/>
                <w:bCs/>
              </w:rPr>
              <w:t xml:space="preserve">The proposal does not pose an unreasonable threat to the public health, safety, or welfare on or off the development proposal </w:t>
            </w:r>
            <w:proofErr w:type="gramStart"/>
            <w:r w:rsidR="008D3CD9" w:rsidRPr="00546EBE">
              <w:rPr>
                <w:rFonts w:cstheme="minorHAnsi"/>
                <w:bCs/>
              </w:rPr>
              <w:t>site;</w:t>
            </w:r>
            <w:proofErr w:type="gramEnd"/>
          </w:p>
          <w:p w14:paraId="2AF3D0D3" w14:textId="5767D90E" w:rsidR="002F48D3" w:rsidRDefault="002F48D3" w:rsidP="008863FC">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45FECD8B" w14:textId="2F8CE77E" w:rsidR="008863FC" w:rsidRPr="0029469D" w:rsidRDefault="008863FC" w:rsidP="008863FC">
            <w:pPr>
              <w:pStyle w:val="ListParagraph"/>
              <w:numPr>
                <w:ilvl w:val="2"/>
                <w:numId w:val="3"/>
              </w:numPr>
              <w:spacing w:before="120" w:after="2"/>
              <w:jc w:val="both"/>
              <w:rPr>
                <w:rFonts w:cstheme="minorHAnsi"/>
                <w:bCs/>
              </w:rPr>
            </w:pPr>
            <w:r>
              <w:rPr>
                <w:rFonts w:cstheme="minorHAnsi"/>
                <w:b/>
              </w:rPr>
              <w:t>Potential public health, safety, or welfare impacts may include</w:t>
            </w:r>
            <w:r w:rsidR="008B065E">
              <w:rPr>
                <w:rFonts w:cstheme="minorHAnsi"/>
                <w:b/>
              </w:rPr>
              <w:t xml:space="preserve"> slope instability</w:t>
            </w:r>
          </w:p>
          <w:p w14:paraId="4B99A2CA" w14:textId="1D998A6A" w:rsidR="0029469D" w:rsidRPr="00546EBE" w:rsidRDefault="0029469D" w:rsidP="008863FC">
            <w:pPr>
              <w:pStyle w:val="ListParagraph"/>
              <w:numPr>
                <w:ilvl w:val="2"/>
                <w:numId w:val="3"/>
              </w:numPr>
              <w:spacing w:before="120" w:after="2"/>
              <w:jc w:val="both"/>
              <w:rPr>
                <w:rFonts w:cstheme="minorHAnsi"/>
                <w:bCs/>
              </w:rPr>
            </w:pPr>
            <w:r>
              <w:rPr>
                <w:rFonts w:cstheme="minorHAnsi"/>
                <w:bCs/>
              </w:rPr>
              <w:t>These potential impacts have been prevented by... (</w:t>
            </w:r>
            <w:proofErr w:type="gramStart"/>
            <w:r>
              <w:rPr>
                <w:rFonts w:cstheme="minorHAnsi"/>
                <w:bCs/>
              </w:rPr>
              <w:t>e.g.</w:t>
            </w:r>
            <w:proofErr w:type="gramEnd"/>
            <w:r>
              <w:rPr>
                <w:rFonts w:cstheme="minorHAnsi"/>
                <w:bCs/>
              </w:rPr>
              <w:t xml:space="preserve"> siting the house in a certain way? Including catchment walls or other mitigation measures? Using certain construction techniques like piles?)</w:t>
            </w:r>
          </w:p>
          <w:p w14:paraId="23C5C69C" w14:textId="372C77DB" w:rsidR="008D3CD9" w:rsidRPr="00546EBE" w:rsidRDefault="00A20A30" w:rsidP="00546EBE">
            <w:pPr>
              <w:pStyle w:val="ListParagraph"/>
              <w:numPr>
                <w:ilvl w:val="1"/>
                <w:numId w:val="19"/>
              </w:numPr>
              <w:spacing w:before="120" w:after="2"/>
              <w:jc w:val="both"/>
              <w:rPr>
                <w:rFonts w:cstheme="minorHAnsi"/>
                <w:bCs/>
              </w:rPr>
            </w:pPr>
            <w:r w:rsidRPr="00546EBE">
              <w:rPr>
                <w:rFonts w:cstheme="minorHAnsi"/>
                <w:bCs/>
              </w:rPr>
              <w:t>MICC 19.07.140(A)(</w:t>
            </w:r>
            <w:r w:rsidR="00DC5F37" w:rsidRPr="00546EBE">
              <w:rPr>
                <w:rFonts w:cstheme="minorHAnsi"/>
                <w:bCs/>
              </w:rPr>
              <w:t>5</w:t>
            </w:r>
            <w:r w:rsidRPr="00546EBE">
              <w:rPr>
                <w:rFonts w:cstheme="minorHAnsi"/>
                <w:bCs/>
              </w:rPr>
              <w:t xml:space="preserve">) </w:t>
            </w:r>
            <w:r w:rsidR="008D3CD9" w:rsidRPr="00546EBE">
              <w:rPr>
                <w:rFonts w:cstheme="minorHAnsi"/>
                <w:bCs/>
              </w:rPr>
              <w:t xml:space="preserve">The proposal is consistent with the purpose of this chapter </w:t>
            </w:r>
            <w:r w:rsidR="00733E12">
              <w:rPr>
                <w:rFonts w:cstheme="minorHAnsi"/>
                <w:bCs/>
              </w:rPr>
              <w:t xml:space="preserve">(MICC 19.07) </w:t>
            </w:r>
            <w:r w:rsidR="008D3CD9" w:rsidRPr="00546EBE">
              <w:rPr>
                <w:rFonts w:cstheme="minorHAnsi"/>
                <w:bCs/>
              </w:rPr>
              <w:t>and the public interest; and</w:t>
            </w:r>
          </w:p>
          <w:p w14:paraId="669F09B0" w14:textId="0C5AA40E" w:rsidR="002F48D3" w:rsidRPr="00546EBE" w:rsidRDefault="002F48D3" w:rsidP="00733E12">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r w:rsidR="00733E12" w:rsidRPr="00733E12">
              <w:rPr>
                <w:rFonts w:cstheme="minorHAnsi"/>
                <w:bCs/>
              </w:rPr>
              <w:t xml:space="preserve">The purpose of the critical area regulations </w:t>
            </w:r>
            <w:r w:rsidR="00733E12">
              <w:rPr>
                <w:rFonts w:cstheme="minorHAnsi"/>
                <w:bCs/>
              </w:rPr>
              <w:t>is</w:t>
            </w:r>
            <w:r w:rsidR="00733E12" w:rsidRPr="00733E12">
              <w:rPr>
                <w:rFonts w:cstheme="minorHAnsi"/>
                <w:bCs/>
              </w:rPr>
              <w:t xml:space="preserve"> established in MICC 19.07.010.  The proposed reasonable use exception represents a site-specific evaluation of the balance required between protecting the public interest in environmentally critical areas and the private property </w:t>
            </w:r>
            <w:r w:rsidR="00733E12" w:rsidRPr="00733E12">
              <w:rPr>
                <w:rFonts w:cstheme="minorHAnsi"/>
                <w:bCs/>
              </w:rPr>
              <w:lastRenderedPageBreak/>
              <w:t>owner interest.  It is not possible to allow both the development of a single-family residence on the subject site, and provide for protection of the wetlands, watercourse, and associated buffers; impacts to the environmentally critical areas are unavoidable.  The proposed development minimizes impacts to the watercourses, wetlands, and associated buffers to the maximum extent feasible, and provides for appropriate mitigation. This criterion is met.</w:t>
            </w:r>
          </w:p>
          <w:p w14:paraId="531F7E7D" w14:textId="77777777" w:rsidR="001F4A5E" w:rsidRPr="00546EBE" w:rsidRDefault="00A20A30" w:rsidP="00546EBE">
            <w:pPr>
              <w:pStyle w:val="ListParagraph"/>
              <w:numPr>
                <w:ilvl w:val="1"/>
                <w:numId w:val="19"/>
              </w:numPr>
              <w:spacing w:before="120" w:after="2"/>
              <w:jc w:val="both"/>
              <w:rPr>
                <w:rFonts w:cstheme="minorHAnsi"/>
                <w:bCs/>
              </w:rPr>
            </w:pPr>
            <w:r w:rsidRPr="00546EBE">
              <w:rPr>
                <w:rFonts w:cstheme="minorHAnsi"/>
                <w:bCs/>
              </w:rPr>
              <w:t>MICC 19.07.140(A)(</w:t>
            </w:r>
            <w:r w:rsidR="00DC5F37" w:rsidRPr="00546EBE">
              <w:rPr>
                <w:rFonts w:cstheme="minorHAnsi"/>
                <w:bCs/>
              </w:rPr>
              <w:t>6</w:t>
            </w:r>
            <w:r w:rsidRPr="00546EBE">
              <w:rPr>
                <w:rFonts w:cstheme="minorHAnsi"/>
                <w:bCs/>
              </w:rPr>
              <w:t xml:space="preserve">) </w:t>
            </w:r>
            <w:r w:rsidR="008D3CD9" w:rsidRPr="00546EBE">
              <w:rPr>
                <w:rFonts w:cstheme="minorHAnsi"/>
                <w:bCs/>
              </w:rPr>
              <w:t>The inability of the applicant to derive reasonable use of the property is not the result of actions by the current or prior property owner.</w:t>
            </w:r>
          </w:p>
          <w:p w14:paraId="7E43995F" w14:textId="67A925C7" w:rsidR="002F48D3" w:rsidRPr="00546EBE" w:rsidRDefault="002F48D3" w:rsidP="0060750D">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r w:rsidR="0060750D">
              <w:rPr>
                <w:rFonts w:eastAsia="Times New Roman" w:cs="Arial"/>
              </w:rPr>
              <w:t>There is no record of an action by the applicant or prior property owner that would affect their ability to derive reasonable use of the subject property.  This criterion is met.</w:t>
            </w:r>
          </w:p>
          <w:p w14:paraId="51DB5224" w14:textId="7B6AFDAE" w:rsidR="009C2CBB" w:rsidRDefault="009C2CBB" w:rsidP="00546EBE">
            <w:pPr>
              <w:pStyle w:val="ListParagraph"/>
              <w:numPr>
                <w:ilvl w:val="0"/>
                <w:numId w:val="19"/>
              </w:numPr>
              <w:spacing w:before="120" w:after="2"/>
              <w:jc w:val="both"/>
              <w:rPr>
                <w:rFonts w:cstheme="minorHAnsi"/>
                <w:bCs/>
              </w:rPr>
            </w:pPr>
            <w:r w:rsidRPr="009C2CBB">
              <w:rPr>
                <w:rFonts w:cstheme="minorHAnsi"/>
                <w:bCs/>
              </w:rPr>
              <w:t xml:space="preserve">MICC 19.06.110(B)(2) contains the applicable criteria for a zoning variance. The hearing examiner may approve the application for a zoning variance only if the development proposal meets </w:t>
            </w:r>
            <w:proofErr w:type="gramStart"/>
            <w:r w:rsidRPr="009C2CBB">
              <w:rPr>
                <w:rFonts w:cstheme="minorHAnsi"/>
                <w:bCs/>
              </w:rPr>
              <w:t>all of</w:t>
            </w:r>
            <w:proofErr w:type="gramEnd"/>
            <w:r w:rsidRPr="009C2CBB">
              <w:rPr>
                <w:rFonts w:cstheme="minorHAnsi"/>
                <w:bCs/>
              </w:rPr>
              <w:t xml:space="preserve"> the criteria.</w:t>
            </w:r>
          </w:p>
          <w:p w14:paraId="15D366BB" w14:textId="3DCBE34A" w:rsidR="00DC5F37" w:rsidRPr="00546EBE" w:rsidRDefault="00DC5F37" w:rsidP="00A7036C">
            <w:pPr>
              <w:pStyle w:val="ListParagraph"/>
              <w:numPr>
                <w:ilvl w:val="1"/>
                <w:numId w:val="19"/>
              </w:numPr>
              <w:spacing w:before="120" w:after="2"/>
              <w:jc w:val="both"/>
              <w:rPr>
                <w:rFonts w:cstheme="minorHAnsi"/>
                <w:bCs/>
              </w:rPr>
            </w:pPr>
            <w:r w:rsidRPr="00546EBE">
              <w:rPr>
                <w:rFonts w:cstheme="minorHAnsi"/>
                <w:bCs/>
              </w:rPr>
              <w:t xml:space="preserve">MICC 19.06.110(B)(2)(a) The strict enforcement of the provisions of this title will create an unnecessary hardship to the property owner. For the purposes of this criterion, in the R-8.4, R-9.6, R-12, and R-15 zoning designations, an “unnecessary hardship” is limited to those circumstances where the adopted standards of this title prevent the construction of a single-family dwelling on a legally created, residentially zoned </w:t>
            </w:r>
            <w:proofErr w:type="gramStart"/>
            <w:r w:rsidRPr="00546EBE">
              <w:rPr>
                <w:rFonts w:cstheme="minorHAnsi"/>
                <w:bCs/>
              </w:rPr>
              <w:t>lot;</w:t>
            </w:r>
            <w:proofErr w:type="gramEnd"/>
          </w:p>
          <w:p w14:paraId="025FDC0F" w14:textId="77777777" w:rsidR="002F48D3" w:rsidRPr="00546EBE" w:rsidRDefault="002F48D3" w:rsidP="00A7036C">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6A18C0E3" w14:textId="38F44B9F" w:rsidR="00DC5F37" w:rsidRPr="00546EBE" w:rsidRDefault="00067261" w:rsidP="00A7036C">
            <w:pPr>
              <w:pStyle w:val="ListParagraph"/>
              <w:numPr>
                <w:ilvl w:val="1"/>
                <w:numId w:val="19"/>
              </w:numPr>
              <w:spacing w:before="120" w:after="2"/>
              <w:jc w:val="both"/>
              <w:rPr>
                <w:rFonts w:cstheme="minorHAnsi"/>
                <w:bCs/>
              </w:rPr>
            </w:pPr>
            <w:r w:rsidRPr="00546EBE">
              <w:rPr>
                <w:rFonts w:cstheme="minorHAnsi"/>
                <w:bCs/>
              </w:rPr>
              <w:t>MICC 19.06.110(B)(2)(</w:t>
            </w:r>
            <w:r w:rsidR="002F48D3" w:rsidRPr="00546EBE">
              <w:rPr>
                <w:rFonts w:cstheme="minorHAnsi"/>
                <w:bCs/>
              </w:rPr>
              <w:t>b</w:t>
            </w:r>
            <w:r w:rsidRPr="00546EBE">
              <w:rPr>
                <w:rFonts w:cstheme="minorHAnsi"/>
                <w:bCs/>
              </w:rPr>
              <w:t xml:space="preserve">) </w:t>
            </w:r>
            <w:r w:rsidR="00DC5F37" w:rsidRPr="00546EBE">
              <w:rPr>
                <w:rFonts w:cstheme="minorHAnsi"/>
                <w:bCs/>
              </w:rPr>
              <w:t xml:space="preserve">The variance is the minimum necessary to grant relief to the property </w:t>
            </w:r>
            <w:proofErr w:type="gramStart"/>
            <w:r w:rsidR="00DC5F37" w:rsidRPr="00546EBE">
              <w:rPr>
                <w:rFonts w:cstheme="minorHAnsi"/>
                <w:bCs/>
              </w:rPr>
              <w:t>owner;</w:t>
            </w:r>
            <w:proofErr w:type="gramEnd"/>
          </w:p>
          <w:p w14:paraId="3289D962" w14:textId="77777777" w:rsidR="002F48D3" w:rsidRPr="00546EBE" w:rsidRDefault="002F48D3" w:rsidP="00A7036C">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52ACC411" w14:textId="0D788ED9" w:rsidR="00DC5F37" w:rsidRPr="00546EBE" w:rsidRDefault="00067261" w:rsidP="00A7036C">
            <w:pPr>
              <w:pStyle w:val="ListParagraph"/>
              <w:numPr>
                <w:ilvl w:val="1"/>
                <w:numId w:val="19"/>
              </w:numPr>
              <w:spacing w:before="120" w:after="2"/>
              <w:jc w:val="both"/>
              <w:rPr>
                <w:rFonts w:cstheme="minorHAnsi"/>
                <w:bCs/>
              </w:rPr>
            </w:pPr>
            <w:r w:rsidRPr="00546EBE">
              <w:rPr>
                <w:rFonts w:cstheme="minorHAnsi"/>
                <w:bCs/>
              </w:rPr>
              <w:t>MICC 19.06.110(B)(2)(</w:t>
            </w:r>
            <w:r w:rsidR="002F48D3" w:rsidRPr="00546EBE">
              <w:rPr>
                <w:rFonts w:cstheme="minorHAnsi"/>
                <w:bCs/>
              </w:rPr>
              <w:t>c</w:t>
            </w:r>
            <w:r w:rsidRPr="00546EBE">
              <w:rPr>
                <w:rFonts w:cstheme="minorHAnsi"/>
                <w:bCs/>
              </w:rPr>
              <w:t xml:space="preserve">) </w:t>
            </w:r>
            <w:r w:rsidR="00DC5F37" w:rsidRPr="00546EBE">
              <w:rPr>
                <w:rFonts w:cstheme="minorHAnsi"/>
                <w:bCs/>
              </w:rPr>
              <w:t xml:space="preserve">No use variance shall be </w:t>
            </w:r>
            <w:proofErr w:type="gramStart"/>
            <w:r w:rsidR="00DC5F37" w:rsidRPr="00546EBE">
              <w:rPr>
                <w:rFonts w:cstheme="minorHAnsi"/>
                <w:bCs/>
              </w:rPr>
              <w:t>allowed;</w:t>
            </w:r>
            <w:proofErr w:type="gramEnd"/>
          </w:p>
          <w:p w14:paraId="6D654557" w14:textId="77777777" w:rsidR="002F48D3" w:rsidRPr="00546EBE" w:rsidRDefault="002F48D3" w:rsidP="00A7036C">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48EAA6D4" w14:textId="6F6F15B8" w:rsidR="00DC5F37" w:rsidRPr="00546EBE" w:rsidRDefault="00067261" w:rsidP="00A7036C">
            <w:pPr>
              <w:pStyle w:val="ListParagraph"/>
              <w:numPr>
                <w:ilvl w:val="1"/>
                <w:numId w:val="19"/>
              </w:numPr>
              <w:spacing w:before="120" w:after="2"/>
              <w:jc w:val="both"/>
              <w:rPr>
                <w:rFonts w:cstheme="minorHAnsi"/>
                <w:bCs/>
              </w:rPr>
            </w:pPr>
            <w:r w:rsidRPr="00546EBE">
              <w:rPr>
                <w:rFonts w:cstheme="minorHAnsi"/>
                <w:bCs/>
              </w:rPr>
              <w:t xml:space="preserve">MICC 19.06.110(B)(2)(d) </w:t>
            </w:r>
            <w:r w:rsidR="00DC5F37" w:rsidRPr="00546EBE">
              <w:rPr>
                <w:rFonts w:cstheme="minorHAnsi"/>
                <w:bCs/>
              </w:rPr>
              <w:t xml:space="preserve">There are special circumstances applicable to the particular lot such as the size, shape, topography, or location of the lot; or factors necessary for the successful installation of a solar energy system such as a particular orientation of a building for the purposes of providing solar </w:t>
            </w:r>
            <w:proofErr w:type="gramStart"/>
            <w:r w:rsidR="00DC5F37" w:rsidRPr="00546EBE">
              <w:rPr>
                <w:rFonts w:cstheme="minorHAnsi"/>
                <w:bCs/>
              </w:rPr>
              <w:t>access;</w:t>
            </w:r>
            <w:proofErr w:type="gramEnd"/>
          </w:p>
          <w:p w14:paraId="6122090C" w14:textId="77777777" w:rsidR="002F48D3" w:rsidRPr="00546EBE" w:rsidRDefault="002F48D3" w:rsidP="00A7036C">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6D0EE702" w14:textId="36BD05D8" w:rsidR="00DC5F37" w:rsidRPr="00546EBE" w:rsidRDefault="00067261" w:rsidP="00A7036C">
            <w:pPr>
              <w:pStyle w:val="ListParagraph"/>
              <w:numPr>
                <w:ilvl w:val="1"/>
                <w:numId w:val="19"/>
              </w:numPr>
              <w:spacing w:before="120" w:after="2"/>
              <w:jc w:val="both"/>
              <w:rPr>
                <w:rFonts w:cstheme="minorHAnsi"/>
                <w:bCs/>
              </w:rPr>
            </w:pPr>
            <w:r w:rsidRPr="00546EBE">
              <w:rPr>
                <w:rFonts w:cstheme="minorHAnsi"/>
                <w:bCs/>
              </w:rPr>
              <w:t xml:space="preserve">MICC 19.06.110(B)(2)(e) </w:t>
            </w:r>
            <w:r w:rsidR="00DC5F37" w:rsidRPr="00546EBE">
              <w:rPr>
                <w:rFonts w:cstheme="minorHAnsi"/>
                <w:bCs/>
              </w:rPr>
              <w:t xml:space="preserve">The granting of the variance will not be materially detrimental to the public welfare or injurious to the property or improvements in the vicinity and zone in which the property is </w:t>
            </w:r>
            <w:proofErr w:type="gramStart"/>
            <w:r w:rsidR="00DC5F37" w:rsidRPr="00546EBE">
              <w:rPr>
                <w:rFonts w:cstheme="minorHAnsi"/>
                <w:bCs/>
              </w:rPr>
              <w:t>situated;</w:t>
            </w:r>
            <w:proofErr w:type="gramEnd"/>
          </w:p>
          <w:p w14:paraId="113FD625" w14:textId="77777777" w:rsidR="003534AA" w:rsidRPr="00546EBE" w:rsidRDefault="003534AA" w:rsidP="00A7036C">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6FC12951" w14:textId="08C0F0C9" w:rsidR="00DC5F37" w:rsidRPr="00546EBE" w:rsidRDefault="00067261" w:rsidP="00A7036C">
            <w:pPr>
              <w:pStyle w:val="ListParagraph"/>
              <w:numPr>
                <w:ilvl w:val="1"/>
                <w:numId w:val="19"/>
              </w:numPr>
              <w:spacing w:before="120" w:after="2"/>
              <w:jc w:val="both"/>
              <w:rPr>
                <w:rFonts w:cstheme="minorHAnsi"/>
                <w:bCs/>
              </w:rPr>
            </w:pPr>
            <w:r w:rsidRPr="00546EBE">
              <w:rPr>
                <w:rFonts w:cstheme="minorHAnsi"/>
                <w:bCs/>
              </w:rPr>
              <w:t xml:space="preserve">MICC 19.06.110(B)(2)(f) </w:t>
            </w:r>
            <w:r w:rsidR="00DC5F37" w:rsidRPr="00546EBE">
              <w:rPr>
                <w:rFonts w:cstheme="minorHAnsi"/>
                <w:bCs/>
              </w:rPr>
              <w:t xml:space="preserve">The granting of the variance will not alter the character of the neighborhood, nor impair the appropriate use or development of adjacent </w:t>
            </w:r>
            <w:proofErr w:type="gramStart"/>
            <w:r w:rsidR="00DC5F37" w:rsidRPr="00546EBE">
              <w:rPr>
                <w:rFonts w:cstheme="minorHAnsi"/>
                <w:bCs/>
              </w:rPr>
              <w:t>property;</w:t>
            </w:r>
            <w:proofErr w:type="gramEnd"/>
          </w:p>
          <w:p w14:paraId="5906F7AC" w14:textId="77777777" w:rsidR="003534AA" w:rsidRPr="00546EBE" w:rsidRDefault="003534AA" w:rsidP="00A7036C">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605AF05A" w14:textId="7147DFA9" w:rsidR="00DC5F37" w:rsidRPr="00546EBE" w:rsidRDefault="00067261" w:rsidP="00A7036C">
            <w:pPr>
              <w:pStyle w:val="ListParagraph"/>
              <w:numPr>
                <w:ilvl w:val="1"/>
                <w:numId w:val="19"/>
              </w:numPr>
              <w:spacing w:before="120" w:after="2"/>
              <w:jc w:val="both"/>
              <w:rPr>
                <w:rFonts w:cstheme="minorHAnsi"/>
                <w:bCs/>
              </w:rPr>
            </w:pPr>
            <w:r w:rsidRPr="00546EBE">
              <w:rPr>
                <w:rFonts w:cstheme="minorHAnsi"/>
                <w:bCs/>
              </w:rPr>
              <w:t xml:space="preserve">MICC 19.06.110(B)(2)(g) </w:t>
            </w:r>
            <w:r w:rsidR="00DC5F37" w:rsidRPr="00546EBE">
              <w:rPr>
                <w:rFonts w:cstheme="minorHAnsi"/>
                <w:bCs/>
              </w:rPr>
              <w:t xml:space="preserve">The variance is consistent with the policies and provisions of the comprehensive plan and the development </w:t>
            </w:r>
            <w:proofErr w:type="gramStart"/>
            <w:r w:rsidR="00DC5F37" w:rsidRPr="00546EBE">
              <w:rPr>
                <w:rFonts w:cstheme="minorHAnsi"/>
                <w:bCs/>
              </w:rPr>
              <w:t>code;</w:t>
            </w:r>
            <w:proofErr w:type="gramEnd"/>
          </w:p>
          <w:p w14:paraId="7B585E18" w14:textId="77777777" w:rsidR="003534AA" w:rsidRPr="00546EBE" w:rsidRDefault="003534AA" w:rsidP="00A7036C">
            <w:pPr>
              <w:pStyle w:val="ListParagraph"/>
              <w:spacing w:before="120" w:after="2"/>
              <w:ind w:left="1080"/>
              <w:jc w:val="both"/>
              <w:rPr>
                <w:rFonts w:cstheme="minorHAnsi"/>
                <w:bCs/>
              </w:rPr>
            </w:pPr>
            <w:r w:rsidRPr="00546EBE">
              <w:rPr>
                <w:rFonts w:cstheme="minorHAnsi"/>
                <w:b/>
              </w:rPr>
              <w:t>Staff Analysis</w:t>
            </w:r>
            <w:r w:rsidRPr="00546EBE">
              <w:rPr>
                <w:rFonts w:cstheme="minorHAnsi"/>
                <w:bCs/>
              </w:rPr>
              <w:t xml:space="preserve">: </w:t>
            </w:r>
          </w:p>
          <w:p w14:paraId="5312F092" w14:textId="19E68F53" w:rsidR="00DC5F37" w:rsidRPr="00546EBE" w:rsidRDefault="00067261" w:rsidP="00A7036C">
            <w:pPr>
              <w:pStyle w:val="ListParagraph"/>
              <w:numPr>
                <w:ilvl w:val="1"/>
                <w:numId w:val="19"/>
              </w:numPr>
              <w:spacing w:before="120" w:after="2"/>
              <w:jc w:val="both"/>
              <w:rPr>
                <w:rFonts w:cstheme="minorHAnsi"/>
                <w:b/>
              </w:rPr>
            </w:pPr>
            <w:r w:rsidRPr="00546EBE">
              <w:rPr>
                <w:rFonts w:cstheme="minorHAnsi"/>
                <w:bCs/>
              </w:rPr>
              <w:t xml:space="preserve">MICC 19.06.110(B)(2)(h) </w:t>
            </w:r>
            <w:r w:rsidR="00DC5F37" w:rsidRPr="00546EBE">
              <w:rPr>
                <w:rFonts w:cstheme="minorHAnsi"/>
                <w:bCs/>
              </w:rPr>
              <w:t>The basis for requesting the variance is not the direct result of a past action by the current or prior property owner</w:t>
            </w:r>
            <w:r w:rsidRPr="00546EBE">
              <w:rPr>
                <w:rFonts w:cstheme="minorHAnsi"/>
                <w:bCs/>
              </w:rPr>
              <w:t>.</w:t>
            </w:r>
          </w:p>
        </w:tc>
      </w:tr>
      <w:tr w:rsidR="006B476D" w:rsidRPr="00311156" w14:paraId="3EDB0D41" w14:textId="77777777" w:rsidTr="006B476D">
        <w:tc>
          <w:tcPr>
            <w:tcW w:w="9792" w:type="dxa"/>
            <w:gridSpan w:val="2"/>
            <w:shd w:val="clear" w:color="auto" w:fill="D9D9D9" w:themeFill="background1" w:themeFillShade="D9"/>
          </w:tcPr>
          <w:p w14:paraId="6E0487CF" w14:textId="5A56FC95" w:rsidR="006B476D" w:rsidRPr="006B476D" w:rsidRDefault="00B21F9A" w:rsidP="00FB3CB8">
            <w:pPr>
              <w:spacing w:before="120" w:after="2"/>
              <w:jc w:val="both"/>
              <w:rPr>
                <w:rFonts w:cstheme="minorHAnsi"/>
                <w:b/>
              </w:rPr>
            </w:pPr>
            <w:r w:rsidRPr="00B21F9A">
              <w:rPr>
                <w:rFonts w:cstheme="minorHAnsi"/>
                <w:b/>
                <w:caps/>
              </w:rPr>
              <w:lastRenderedPageBreak/>
              <w:t>Recommended</w:t>
            </w:r>
            <w:r>
              <w:rPr>
                <w:rFonts w:cstheme="minorHAnsi"/>
                <w:b/>
              </w:rPr>
              <w:t xml:space="preserve"> </w:t>
            </w:r>
            <w:r w:rsidR="00DD223D">
              <w:rPr>
                <w:rFonts w:cstheme="minorHAnsi"/>
                <w:b/>
              </w:rPr>
              <w:t>CONDITIONS OF APPROVAL</w:t>
            </w:r>
          </w:p>
        </w:tc>
      </w:tr>
      <w:tr w:rsidR="006B476D" w14:paraId="187F73AB" w14:textId="77777777" w:rsidTr="00DB7D12">
        <w:tc>
          <w:tcPr>
            <w:tcW w:w="9792" w:type="dxa"/>
            <w:gridSpan w:val="2"/>
            <w:shd w:val="clear" w:color="auto" w:fill="auto"/>
          </w:tcPr>
          <w:p w14:paraId="1917F5D0" w14:textId="454DC719" w:rsidR="006B476D" w:rsidRDefault="00DD223D" w:rsidP="00FB3CB8">
            <w:pPr>
              <w:pStyle w:val="ListParagraph"/>
              <w:numPr>
                <w:ilvl w:val="0"/>
                <w:numId w:val="14"/>
              </w:numPr>
              <w:spacing w:before="120" w:after="2"/>
              <w:ind w:left="504" w:right="-115"/>
              <w:jc w:val="both"/>
              <w:rPr>
                <w:rFonts w:cstheme="minorHAnsi"/>
              </w:rPr>
            </w:pPr>
            <w:r>
              <w:rPr>
                <w:rFonts w:cstheme="minorHAnsi"/>
              </w:rPr>
              <w:t>Substantial conformance with the development plan set (Exhibit X)</w:t>
            </w:r>
          </w:p>
          <w:p w14:paraId="5F7A1DAD" w14:textId="77777777" w:rsidR="00DD223D" w:rsidRDefault="00DD223D" w:rsidP="00FB3CB8">
            <w:pPr>
              <w:pStyle w:val="ListParagraph"/>
              <w:numPr>
                <w:ilvl w:val="0"/>
                <w:numId w:val="14"/>
              </w:numPr>
              <w:spacing w:before="120" w:after="2"/>
              <w:ind w:left="504" w:right="-115"/>
              <w:jc w:val="both"/>
              <w:rPr>
                <w:rFonts w:cstheme="minorHAnsi"/>
              </w:rPr>
            </w:pPr>
            <w:r>
              <w:rPr>
                <w:rFonts w:cstheme="minorHAnsi"/>
              </w:rPr>
              <w:t>Expiration of approval</w:t>
            </w:r>
          </w:p>
          <w:p w14:paraId="0ABC3583" w14:textId="77777777" w:rsidR="00DD223D" w:rsidRDefault="00DD223D" w:rsidP="00FB3CB8">
            <w:pPr>
              <w:pStyle w:val="ListParagraph"/>
              <w:numPr>
                <w:ilvl w:val="0"/>
                <w:numId w:val="14"/>
              </w:numPr>
              <w:spacing w:before="120" w:after="2"/>
              <w:ind w:left="504" w:right="-115"/>
              <w:jc w:val="both"/>
              <w:rPr>
                <w:rFonts w:cstheme="minorHAnsi"/>
              </w:rPr>
            </w:pPr>
            <w:r>
              <w:rPr>
                <w:rFonts w:cstheme="minorHAnsi"/>
              </w:rPr>
              <w:t>Financial guarantees</w:t>
            </w:r>
          </w:p>
          <w:p w14:paraId="453A0E29" w14:textId="0D074635" w:rsidR="00DD223D" w:rsidRPr="00DD223D" w:rsidRDefault="00DD223D" w:rsidP="00FB3CB8">
            <w:pPr>
              <w:pStyle w:val="ListParagraph"/>
              <w:numPr>
                <w:ilvl w:val="0"/>
                <w:numId w:val="14"/>
              </w:numPr>
              <w:spacing w:before="120" w:after="2"/>
              <w:ind w:left="504" w:right="-115"/>
              <w:jc w:val="both"/>
              <w:rPr>
                <w:rFonts w:cstheme="minorHAnsi"/>
              </w:rPr>
            </w:pPr>
            <w:r>
              <w:rPr>
                <w:rFonts w:cstheme="minorHAnsi"/>
              </w:rPr>
              <w:t>Locate lake sewer main</w:t>
            </w:r>
          </w:p>
        </w:tc>
      </w:tr>
      <w:tr w:rsidR="006B476D" w:rsidRPr="00311156" w14:paraId="78686B26" w14:textId="77777777" w:rsidTr="006B476D">
        <w:tc>
          <w:tcPr>
            <w:tcW w:w="9792" w:type="dxa"/>
            <w:gridSpan w:val="2"/>
            <w:shd w:val="clear" w:color="auto" w:fill="D9D9D9" w:themeFill="background1" w:themeFillShade="D9"/>
          </w:tcPr>
          <w:p w14:paraId="322CB6AA" w14:textId="7DDEAEF1" w:rsidR="006B476D" w:rsidRPr="006B476D" w:rsidRDefault="00DD223D" w:rsidP="00FB3CB8">
            <w:pPr>
              <w:spacing w:before="120" w:after="2"/>
              <w:jc w:val="both"/>
              <w:rPr>
                <w:rFonts w:cstheme="minorHAnsi"/>
                <w:b/>
              </w:rPr>
            </w:pPr>
            <w:bookmarkStart w:id="3" w:name="_Hlk2337584"/>
            <w:r>
              <w:rPr>
                <w:rFonts w:cstheme="minorHAnsi"/>
                <w:b/>
              </w:rPr>
              <w:t>DEVELOPMET REGULATION COMPLIANCE – DISCLOSURE</w:t>
            </w:r>
          </w:p>
        </w:tc>
      </w:tr>
      <w:bookmarkEnd w:id="3"/>
      <w:tr w:rsidR="006B476D" w:rsidRPr="00311156" w14:paraId="0B8DBF59" w14:textId="77777777" w:rsidTr="00DB7D12">
        <w:tc>
          <w:tcPr>
            <w:tcW w:w="9792" w:type="dxa"/>
            <w:gridSpan w:val="2"/>
            <w:shd w:val="clear" w:color="auto" w:fill="auto"/>
          </w:tcPr>
          <w:p w14:paraId="74137D90" w14:textId="77777777" w:rsidR="006B476D" w:rsidRDefault="00DD223D" w:rsidP="00FB3CB8">
            <w:pPr>
              <w:pStyle w:val="ListParagraph"/>
              <w:numPr>
                <w:ilvl w:val="0"/>
                <w:numId w:val="15"/>
              </w:numPr>
              <w:spacing w:before="120" w:after="2"/>
              <w:ind w:left="504" w:right="-115"/>
              <w:jc w:val="both"/>
              <w:rPr>
                <w:rFonts w:cstheme="minorHAnsi"/>
              </w:rPr>
            </w:pPr>
            <w:r>
              <w:rPr>
                <w:rFonts w:cstheme="minorHAnsi"/>
              </w:rPr>
              <w:lastRenderedPageBreak/>
              <w:t>Comply with all local, state and federal regulations</w:t>
            </w:r>
          </w:p>
          <w:p w14:paraId="77D5B8EB" w14:textId="77777777" w:rsidR="00DD223D" w:rsidRDefault="00DD223D" w:rsidP="00FB3CB8">
            <w:pPr>
              <w:pStyle w:val="ListParagraph"/>
              <w:numPr>
                <w:ilvl w:val="0"/>
                <w:numId w:val="15"/>
              </w:numPr>
              <w:spacing w:before="120" w:after="2"/>
              <w:ind w:left="504" w:right="-115"/>
              <w:jc w:val="both"/>
              <w:rPr>
                <w:rFonts w:cstheme="minorHAnsi"/>
              </w:rPr>
            </w:pPr>
            <w:r>
              <w:rPr>
                <w:rFonts w:cstheme="minorHAnsi"/>
              </w:rPr>
              <w:t>Timing of improvements 9e.g. tree protection, site development stuff – roads, stormwater, TESC)</w:t>
            </w:r>
          </w:p>
          <w:p w14:paraId="16F51D17" w14:textId="77777777" w:rsidR="00A943D9" w:rsidRDefault="00A943D9" w:rsidP="00FB3CB8">
            <w:pPr>
              <w:pStyle w:val="ListParagraph"/>
              <w:numPr>
                <w:ilvl w:val="0"/>
                <w:numId w:val="15"/>
              </w:numPr>
              <w:spacing w:before="120" w:after="2"/>
              <w:ind w:left="504" w:right="-115"/>
              <w:jc w:val="both"/>
              <w:rPr>
                <w:rFonts w:cstheme="minorHAnsi"/>
              </w:rPr>
            </w:pPr>
            <w:r>
              <w:rPr>
                <w:rFonts w:cstheme="minorHAnsi"/>
              </w:rPr>
              <w:t>Fish window</w:t>
            </w:r>
          </w:p>
          <w:p w14:paraId="04BCA0CF" w14:textId="77777777" w:rsidR="00A943D9" w:rsidRDefault="00A943D9" w:rsidP="00FB3CB8">
            <w:pPr>
              <w:pStyle w:val="ListParagraph"/>
              <w:numPr>
                <w:ilvl w:val="0"/>
                <w:numId w:val="15"/>
              </w:numPr>
              <w:spacing w:before="120" w:after="2"/>
              <w:ind w:left="504" w:right="-115"/>
              <w:jc w:val="both"/>
              <w:rPr>
                <w:rFonts w:cstheme="minorHAnsi"/>
              </w:rPr>
            </w:pPr>
            <w:r>
              <w:rPr>
                <w:rFonts w:cstheme="minorHAnsi"/>
              </w:rPr>
              <w:t>Consistent with other agency requirements</w:t>
            </w:r>
          </w:p>
          <w:p w14:paraId="71E190AF" w14:textId="77777777" w:rsidR="00A943D9" w:rsidRDefault="00A943D9" w:rsidP="00FB3CB8">
            <w:pPr>
              <w:pStyle w:val="ListParagraph"/>
              <w:numPr>
                <w:ilvl w:val="0"/>
                <w:numId w:val="15"/>
              </w:numPr>
              <w:spacing w:before="120" w:after="2"/>
              <w:ind w:left="504" w:right="-115"/>
              <w:jc w:val="both"/>
              <w:rPr>
                <w:rFonts w:cstheme="minorHAnsi"/>
              </w:rPr>
            </w:pPr>
            <w:r>
              <w:rPr>
                <w:rFonts w:cstheme="minorHAnsi"/>
              </w:rPr>
              <w:t>Required permits must be obtained prior to construction</w:t>
            </w:r>
          </w:p>
          <w:p w14:paraId="74A57D49" w14:textId="77777777" w:rsidR="00A943D9" w:rsidRDefault="00A943D9" w:rsidP="00FB3CB8">
            <w:pPr>
              <w:pStyle w:val="ListParagraph"/>
              <w:numPr>
                <w:ilvl w:val="0"/>
                <w:numId w:val="15"/>
              </w:numPr>
              <w:spacing w:before="120" w:after="2"/>
              <w:ind w:left="504" w:right="-115"/>
              <w:jc w:val="both"/>
              <w:rPr>
                <w:rFonts w:cstheme="minorHAnsi"/>
              </w:rPr>
            </w:pPr>
            <w:r>
              <w:rPr>
                <w:rFonts w:cstheme="minorHAnsi"/>
              </w:rPr>
              <w:t>Engineering / Fire / Arborist development regulations</w:t>
            </w:r>
          </w:p>
          <w:p w14:paraId="30B7859E" w14:textId="3AFEF1E6" w:rsidR="005A4F4C" w:rsidRPr="00DD223D" w:rsidRDefault="005A4F4C" w:rsidP="00FB3CB8">
            <w:pPr>
              <w:pStyle w:val="ListParagraph"/>
              <w:numPr>
                <w:ilvl w:val="0"/>
                <w:numId w:val="15"/>
              </w:numPr>
              <w:spacing w:before="120" w:after="2"/>
              <w:ind w:left="504" w:right="-115"/>
              <w:jc w:val="both"/>
              <w:rPr>
                <w:rFonts w:cstheme="minorHAnsi"/>
              </w:rPr>
            </w:pPr>
            <w:r>
              <w:rPr>
                <w:rFonts w:cstheme="minorHAnsi"/>
              </w:rPr>
              <w:t>Impact Fees</w:t>
            </w:r>
          </w:p>
        </w:tc>
      </w:tr>
      <w:tr w:rsidR="00DD223D" w:rsidRPr="006B476D" w14:paraId="7849CE41" w14:textId="77777777" w:rsidTr="00DB7D12">
        <w:tc>
          <w:tcPr>
            <w:tcW w:w="9792" w:type="dxa"/>
            <w:gridSpan w:val="2"/>
            <w:shd w:val="clear" w:color="auto" w:fill="D9D9D9" w:themeFill="background1" w:themeFillShade="D9"/>
          </w:tcPr>
          <w:p w14:paraId="112CA1D9" w14:textId="5624C581" w:rsidR="00DD223D" w:rsidRPr="006B476D" w:rsidRDefault="00A943D9" w:rsidP="00FB3CB8">
            <w:pPr>
              <w:spacing w:before="120" w:after="2"/>
              <w:jc w:val="both"/>
              <w:rPr>
                <w:rFonts w:cstheme="minorHAnsi"/>
                <w:b/>
              </w:rPr>
            </w:pPr>
            <w:r>
              <w:rPr>
                <w:rFonts w:cstheme="minorHAnsi"/>
                <w:b/>
              </w:rPr>
              <w:t>RECOMMENDATION</w:t>
            </w:r>
          </w:p>
        </w:tc>
      </w:tr>
      <w:tr w:rsidR="00DD223D" w:rsidRPr="00311156" w14:paraId="4352AD1C" w14:textId="77777777" w:rsidTr="00DB7D12">
        <w:tc>
          <w:tcPr>
            <w:tcW w:w="9792" w:type="dxa"/>
            <w:gridSpan w:val="2"/>
            <w:shd w:val="clear" w:color="auto" w:fill="auto"/>
          </w:tcPr>
          <w:p w14:paraId="27844981" w14:textId="1578FDBE" w:rsidR="00DD223D" w:rsidRDefault="00A943D9" w:rsidP="00FB3CB8">
            <w:pPr>
              <w:spacing w:before="120" w:after="2"/>
              <w:jc w:val="both"/>
              <w:rPr>
                <w:rFonts w:cstheme="minorHAnsi"/>
              </w:rPr>
            </w:pPr>
            <w:r w:rsidRPr="00A943D9">
              <w:rPr>
                <w:rFonts w:cstheme="minorHAnsi"/>
              </w:rPr>
              <w:t xml:space="preserve">Based upon the above noted Findings of Fact and Conclusions of Law, </w:t>
            </w:r>
            <w:r w:rsidR="00625D8F">
              <w:rPr>
                <w:rFonts w:cstheme="minorHAnsi"/>
              </w:rPr>
              <w:t>the City recommends that the Hearing Examiner...</w:t>
            </w:r>
            <w:r w:rsidRPr="00A943D9">
              <w:rPr>
                <w:rFonts w:cstheme="minorHAnsi"/>
              </w:rPr>
              <w:t xml:space="preserve"> application</w:t>
            </w:r>
            <w:r w:rsidR="00B05116">
              <w:rPr>
                <w:rFonts w:cstheme="minorHAnsi"/>
              </w:rPr>
              <w:t>s</w:t>
            </w:r>
            <w:r w:rsidRPr="00A943D9">
              <w:rPr>
                <w:rFonts w:cstheme="minorHAnsi"/>
              </w:rPr>
              <w:t xml:space="preserve"> </w:t>
            </w:r>
            <w:r w:rsidR="00B05116">
              <w:rPr>
                <w:rFonts w:cstheme="minorHAnsi"/>
              </w:rPr>
              <w:t>CAO15-001 and VAR18-002</w:t>
            </w:r>
            <w:r w:rsidRPr="00A943D9">
              <w:rPr>
                <w:rFonts w:cstheme="minorHAnsi"/>
              </w:rPr>
              <w:t xml:space="preserve">, as depicted in </w:t>
            </w:r>
            <w:r w:rsidRPr="00A943D9">
              <w:rPr>
                <w:rFonts w:cstheme="minorHAnsi"/>
                <w:highlight w:val="yellow"/>
              </w:rPr>
              <w:t>Exhibit 7</w:t>
            </w:r>
            <w:r w:rsidRPr="00A943D9">
              <w:rPr>
                <w:rFonts w:cstheme="minorHAnsi"/>
              </w:rPr>
              <w:t xml:space="preserve">, is hereby preliminarily </w:t>
            </w:r>
            <w:r w:rsidRPr="00A943D9">
              <w:rPr>
                <w:rFonts w:cstheme="minorHAnsi"/>
                <w:b/>
              </w:rPr>
              <w:t>APPROVED</w:t>
            </w:r>
            <w:r w:rsidRPr="00A943D9">
              <w:rPr>
                <w:rFonts w:cstheme="minorHAnsi"/>
              </w:rPr>
              <w:t>. This decision is final, unless appealed in writing consistent with adopted appeal procedures, MICC 19.15.020(J), and all other applicable appeal regulations.</w:t>
            </w:r>
          </w:p>
          <w:p w14:paraId="63609E38" w14:textId="77777777" w:rsidR="00BA28D1" w:rsidRDefault="00BA28D1" w:rsidP="00FB3CB8">
            <w:pPr>
              <w:spacing w:before="120" w:after="2"/>
              <w:ind w:right="-108"/>
              <w:jc w:val="both"/>
              <w:rPr>
                <w:rFonts w:cstheme="minorHAnsi"/>
              </w:rPr>
            </w:pPr>
          </w:p>
          <w:p w14:paraId="7C436C2D" w14:textId="02027F32" w:rsidR="00BA28D1" w:rsidRDefault="00BA28D1" w:rsidP="00FB3CB8">
            <w:pPr>
              <w:spacing w:before="120" w:after="2"/>
              <w:ind w:right="-108"/>
              <w:jc w:val="both"/>
              <w:rPr>
                <w:rFonts w:cstheme="minorHAnsi"/>
                <w:b/>
              </w:rPr>
            </w:pPr>
            <w:r>
              <w:rPr>
                <w:rFonts w:cstheme="minorHAnsi"/>
                <w:b/>
              </w:rPr>
              <w:t xml:space="preserve">Approved this XX day of XXXXX, </w:t>
            </w:r>
            <w:r w:rsidR="00B21F9A">
              <w:rPr>
                <w:rFonts w:cstheme="minorHAnsi"/>
                <w:b/>
              </w:rPr>
              <w:t>2021</w:t>
            </w:r>
          </w:p>
          <w:p w14:paraId="4ACC095E" w14:textId="77777777" w:rsidR="00BA28D1" w:rsidRDefault="00BA28D1" w:rsidP="00FB3CB8">
            <w:pPr>
              <w:spacing w:before="120" w:after="2"/>
              <w:ind w:right="-108"/>
              <w:jc w:val="both"/>
              <w:rPr>
                <w:rFonts w:cstheme="minorHAnsi"/>
                <w:b/>
              </w:rPr>
            </w:pPr>
          </w:p>
          <w:p w14:paraId="06480B5B" w14:textId="77777777" w:rsidR="00BA28D1" w:rsidRDefault="00BA28D1" w:rsidP="00FB3CB8">
            <w:pPr>
              <w:spacing w:before="120" w:after="2"/>
              <w:ind w:right="-108"/>
              <w:jc w:val="both"/>
              <w:rPr>
                <w:rFonts w:cstheme="minorHAnsi"/>
                <w:b/>
              </w:rPr>
            </w:pPr>
          </w:p>
          <w:p w14:paraId="2ECA6A17" w14:textId="77777777" w:rsidR="00BA28D1" w:rsidRPr="00EC6222" w:rsidRDefault="00BA28D1" w:rsidP="00FB3CB8">
            <w:pPr>
              <w:spacing w:before="120" w:after="2"/>
              <w:rPr>
                <w:rFonts w:ascii="Calibri" w:hAnsi="Calibri" w:cs="Arial"/>
                <w:b/>
              </w:rPr>
            </w:pPr>
            <w:r w:rsidRPr="00EC6222">
              <w:rPr>
                <w:rFonts w:ascii="Calibri" w:hAnsi="Calibri" w:cs="Arial"/>
                <w:b/>
              </w:rPr>
              <w:t>___________________________________</w:t>
            </w:r>
          </w:p>
          <w:p w14:paraId="1A93C2ED" w14:textId="58D1D60A" w:rsidR="00BA28D1" w:rsidRPr="00B21F9A" w:rsidRDefault="00B21F9A" w:rsidP="00625D8F">
            <w:pPr>
              <w:ind w:right="-115"/>
              <w:jc w:val="both"/>
              <w:rPr>
                <w:rFonts w:cstheme="minorHAnsi"/>
                <w:b/>
                <w:iCs/>
              </w:rPr>
            </w:pPr>
            <w:r w:rsidRPr="00B21F9A">
              <w:rPr>
                <w:rFonts w:cstheme="minorHAnsi"/>
                <w:b/>
                <w:iCs/>
              </w:rPr>
              <w:t>Robin Proebsting, Senior Planner</w:t>
            </w:r>
          </w:p>
          <w:p w14:paraId="0274C129" w14:textId="0A96030D" w:rsidR="00BA28D1" w:rsidRDefault="00BA28D1" w:rsidP="00625D8F">
            <w:pPr>
              <w:ind w:right="-115"/>
              <w:jc w:val="both"/>
              <w:rPr>
                <w:rFonts w:cstheme="minorHAnsi"/>
                <w:b/>
              </w:rPr>
            </w:pPr>
            <w:r>
              <w:rPr>
                <w:rFonts w:cstheme="minorHAnsi"/>
                <w:b/>
              </w:rPr>
              <w:t xml:space="preserve">Community Planning &amp; </w:t>
            </w:r>
            <w:r w:rsidR="0003403C">
              <w:rPr>
                <w:rFonts w:cstheme="minorHAnsi"/>
                <w:b/>
              </w:rPr>
              <w:t>Development</w:t>
            </w:r>
          </w:p>
          <w:p w14:paraId="37F13F80" w14:textId="77777777" w:rsidR="00BA28D1" w:rsidRDefault="00BA28D1" w:rsidP="00625D8F">
            <w:pPr>
              <w:ind w:right="-115"/>
              <w:jc w:val="both"/>
              <w:rPr>
                <w:rFonts w:cstheme="minorHAnsi"/>
                <w:b/>
              </w:rPr>
            </w:pPr>
            <w:r>
              <w:rPr>
                <w:rFonts w:cstheme="minorHAnsi"/>
                <w:b/>
              </w:rPr>
              <w:t>City of Mercer Island</w:t>
            </w:r>
          </w:p>
          <w:p w14:paraId="33A7B189" w14:textId="53CE99DB" w:rsidR="00A15F21" w:rsidRPr="00BA28D1" w:rsidRDefault="00A15F21" w:rsidP="00FB3CB8">
            <w:pPr>
              <w:spacing w:before="120" w:after="2"/>
              <w:ind w:right="-108"/>
              <w:jc w:val="both"/>
              <w:rPr>
                <w:rFonts w:cstheme="minorHAnsi"/>
                <w:b/>
              </w:rPr>
            </w:pPr>
          </w:p>
        </w:tc>
      </w:tr>
      <w:tr w:rsidR="00DD223D" w:rsidRPr="00311156" w14:paraId="39584094" w14:textId="77777777" w:rsidTr="00DB7D12">
        <w:tc>
          <w:tcPr>
            <w:tcW w:w="9792" w:type="dxa"/>
            <w:gridSpan w:val="2"/>
            <w:shd w:val="clear" w:color="auto" w:fill="auto"/>
          </w:tcPr>
          <w:p w14:paraId="506121BD" w14:textId="28375CA8" w:rsidR="00DD223D" w:rsidRPr="00A15F21" w:rsidRDefault="00DD223D" w:rsidP="00FB3CB8">
            <w:pPr>
              <w:spacing w:before="120" w:after="2"/>
              <w:jc w:val="both"/>
              <w:rPr>
                <w:rFonts w:ascii="Calibri" w:hAnsi="Calibri" w:cs="Arial"/>
                <w:i/>
                <w:sz w:val="20"/>
              </w:rPr>
            </w:pPr>
          </w:p>
        </w:tc>
      </w:tr>
    </w:tbl>
    <w:p w14:paraId="51C53891" w14:textId="77777777" w:rsidR="00703D55" w:rsidRPr="00377EBA" w:rsidRDefault="00703D55" w:rsidP="00377EBA">
      <w:pPr>
        <w:rPr>
          <w:sz w:val="2"/>
          <w:szCs w:val="2"/>
        </w:rPr>
      </w:pPr>
    </w:p>
    <w:sectPr w:rsidR="00703D55" w:rsidRPr="00377EBA" w:rsidSect="00703D55">
      <w:headerReference w:type="even" r:id="rId13"/>
      <w:headerReference w:type="default" r:id="rId14"/>
      <w:footerReference w:type="even" r:id="rId15"/>
      <w:footerReference w:type="default" r:id="rId16"/>
      <w:headerReference w:type="first" r:id="rId17"/>
      <w:footerReference w:type="first" r:id="rId18"/>
      <w:pgSz w:w="12240" w:h="15840"/>
      <w:pgMar w:top="1440" w:right="1224" w:bottom="144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AAE8A" w14:textId="77777777" w:rsidR="00DB7D12" w:rsidRDefault="00DB7D12" w:rsidP="00A15F21">
      <w:pPr>
        <w:spacing w:after="0" w:line="240" w:lineRule="auto"/>
      </w:pPr>
      <w:r>
        <w:separator/>
      </w:r>
    </w:p>
  </w:endnote>
  <w:endnote w:type="continuationSeparator" w:id="0">
    <w:p w14:paraId="1DD59C59" w14:textId="77777777" w:rsidR="00DB7D12" w:rsidRDefault="00DB7D12" w:rsidP="00A1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22DBB" w14:textId="77777777" w:rsidR="004420E1" w:rsidRDefault="0044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167140"/>
      <w:docPartObj>
        <w:docPartGallery w:val="Page Numbers (Bottom of Page)"/>
        <w:docPartUnique/>
      </w:docPartObj>
    </w:sdtPr>
    <w:sdtEndPr/>
    <w:sdtContent>
      <w:sdt>
        <w:sdtPr>
          <w:id w:val="1728636285"/>
          <w:docPartObj>
            <w:docPartGallery w:val="Page Numbers (Top of Page)"/>
            <w:docPartUnique/>
          </w:docPartObj>
        </w:sdtPr>
        <w:sdtEndPr/>
        <w:sdtContent>
          <w:p w14:paraId="19B77C8B" w14:textId="1EA44B00" w:rsidR="00E0146E" w:rsidRDefault="00E014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13F3D1" w14:textId="77777777" w:rsidR="00A15F21" w:rsidRDefault="00A15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0D876" w14:textId="77777777" w:rsidR="004420E1" w:rsidRDefault="00442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00066" w14:textId="77777777" w:rsidR="00DB7D12" w:rsidRDefault="00DB7D12" w:rsidP="00A15F21">
      <w:pPr>
        <w:spacing w:after="0" w:line="240" w:lineRule="auto"/>
      </w:pPr>
      <w:r>
        <w:separator/>
      </w:r>
    </w:p>
  </w:footnote>
  <w:footnote w:type="continuationSeparator" w:id="0">
    <w:p w14:paraId="619241E4" w14:textId="77777777" w:rsidR="00DB7D12" w:rsidRDefault="00DB7D12" w:rsidP="00A15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70A3" w14:textId="60A7F42C" w:rsidR="004420E1" w:rsidRDefault="003D2C3B">
    <w:pPr>
      <w:pStyle w:val="Header"/>
    </w:pPr>
    <w:r>
      <w:rPr>
        <w:noProof/>
      </w:rPr>
      <w:pict w14:anchorId="639ED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07547" o:spid="_x0000_s23554" type="#_x0000_t136" style="position:absolute;margin-left:0;margin-top:0;width:431.4pt;height:258.8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8ADEC" w14:textId="6E55CE90" w:rsidR="004420E1" w:rsidRDefault="003D2C3B">
    <w:pPr>
      <w:pStyle w:val="Header"/>
    </w:pPr>
    <w:r>
      <w:rPr>
        <w:noProof/>
      </w:rPr>
      <w:pict w14:anchorId="1CB53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07548" o:spid="_x0000_s23555" type="#_x0000_t136" style="position:absolute;margin-left:0;margin-top:0;width:431.4pt;height:258.8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71F2C" w14:textId="3481B256" w:rsidR="004420E1" w:rsidRDefault="003D2C3B">
    <w:pPr>
      <w:pStyle w:val="Header"/>
    </w:pPr>
    <w:r>
      <w:rPr>
        <w:noProof/>
      </w:rPr>
      <w:pict w14:anchorId="1B194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07546" o:spid="_x0000_s23553" type="#_x0000_t136" style="position:absolute;margin-left:0;margin-top:0;width:431.4pt;height:258.8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4697"/>
    <w:multiLevelType w:val="hybridMultilevel"/>
    <w:tmpl w:val="BEC62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2969"/>
    <w:multiLevelType w:val="hybridMultilevel"/>
    <w:tmpl w:val="DD04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4C87"/>
    <w:multiLevelType w:val="hybridMultilevel"/>
    <w:tmpl w:val="369EA55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D566C"/>
    <w:multiLevelType w:val="hybridMultilevel"/>
    <w:tmpl w:val="D916C56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3D77B2"/>
    <w:multiLevelType w:val="hybridMultilevel"/>
    <w:tmpl w:val="55F88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DEBE42">
      <w:numFmt w:val="bullet"/>
      <w:lvlText w:val=""/>
      <w:lvlJc w:val="left"/>
      <w:pPr>
        <w:ind w:left="2340" w:hanging="360"/>
      </w:pPr>
      <w:rPr>
        <w:rFonts w:ascii="Symbol" w:eastAsiaTheme="minorEastAsia" w:hAnsi="Symbol"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4790C"/>
    <w:multiLevelType w:val="hybridMultilevel"/>
    <w:tmpl w:val="DA28C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E40C7"/>
    <w:multiLevelType w:val="hybridMultilevel"/>
    <w:tmpl w:val="86866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735EC"/>
    <w:multiLevelType w:val="hybridMultilevel"/>
    <w:tmpl w:val="B51EF3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FA32EA2"/>
    <w:multiLevelType w:val="multilevel"/>
    <w:tmpl w:val="8A289A5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DA323D"/>
    <w:multiLevelType w:val="hybridMultilevel"/>
    <w:tmpl w:val="30824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35263"/>
    <w:multiLevelType w:val="hybridMultilevel"/>
    <w:tmpl w:val="B664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45206"/>
    <w:multiLevelType w:val="hybridMultilevel"/>
    <w:tmpl w:val="F2DEB4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0C20C0"/>
    <w:multiLevelType w:val="hybridMultilevel"/>
    <w:tmpl w:val="E87C7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47590"/>
    <w:multiLevelType w:val="hybridMultilevel"/>
    <w:tmpl w:val="B3CC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50E1B"/>
    <w:multiLevelType w:val="hybridMultilevel"/>
    <w:tmpl w:val="8C6E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95128"/>
    <w:multiLevelType w:val="hybridMultilevel"/>
    <w:tmpl w:val="605C3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74A30"/>
    <w:multiLevelType w:val="hybridMultilevel"/>
    <w:tmpl w:val="A57E7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62DD7"/>
    <w:multiLevelType w:val="hybridMultilevel"/>
    <w:tmpl w:val="B7D4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DE30D7"/>
    <w:multiLevelType w:val="hybridMultilevel"/>
    <w:tmpl w:val="D146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4"/>
  </w:num>
  <w:num w:numId="4">
    <w:abstractNumId w:val="16"/>
  </w:num>
  <w:num w:numId="5">
    <w:abstractNumId w:val="14"/>
  </w:num>
  <w:num w:numId="6">
    <w:abstractNumId w:val="6"/>
  </w:num>
  <w:num w:numId="7">
    <w:abstractNumId w:val="5"/>
  </w:num>
  <w:num w:numId="8">
    <w:abstractNumId w:val="3"/>
  </w:num>
  <w:num w:numId="9">
    <w:abstractNumId w:val="2"/>
  </w:num>
  <w:num w:numId="10">
    <w:abstractNumId w:val="0"/>
  </w:num>
  <w:num w:numId="11">
    <w:abstractNumId w:val="1"/>
  </w:num>
  <w:num w:numId="12">
    <w:abstractNumId w:val="18"/>
  </w:num>
  <w:num w:numId="13">
    <w:abstractNumId w:val="17"/>
  </w:num>
  <w:num w:numId="14">
    <w:abstractNumId w:val="9"/>
  </w:num>
  <w:num w:numId="15">
    <w:abstractNumId w:val="15"/>
  </w:num>
  <w:num w:numId="16">
    <w:abstractNumId w:val="10"/>
  </w:num>
  <w:num w:numId="17">
    <w:abstractNumId w:val="12"/>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355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tzC0MLQ0NDAyMDdR0lEKTi0uzszPAykwqgUAIeN6kSwAAAA="/>
  </w:docVars>
  <w:rsids>
    <w:rsidRoot w:val="00703D55"/>
    <w:rsid w:val="000227F8"/>
    <w:rsid w:val="000321A3"/>
    <w:rsid w:val="0003403C"/>
    <w:rsid w:val="00037045"/>
    <w:rsid w:val="00046882"/>
    <w:rsid w:val="00054616"/>
    <w:rsid w:val="00057381"/>
    <w:rsid w:val="00067261"/>
    <w:rsid w:val="000B162D"/>
    <w:rsid w:val="000B359D"/>
    <w:rsid w:val="000C175A"/>
    <w:rsid w:val="000D3BFD"/>
    <w:rsid w:val="000E0BEF"/>
    <w:rsid w:val="00113561"/>
    <w:rsid w:val="001345D4"/>
    <w:rsid w:val="001528E7"/>
    <w:rsid w:val="001530E0"/>
    <w:rsid w:val="00174D05"/>
    <w:rsid w:val="00183C60"/>
    <w:rsid w:val="001B06A8"/>
    <w:rsid w:val="001B3670"/>
    <w:rsid w:val="001B7C91"/>
    <w:rsid w:val="001E4BA6"/>
    <w:rsid w:val="001F125F"/>
    <w:rsid w:val="001F4A5E"/>
    <w:rsid w:val="00215250"/>
    <w:rsid w:val="0024331D"/>
    <w:rsid w:val="00261E0A"/>
    <w:rsid w:val="00265EDB"/>
    <w:rsid w:val="00284F27"/>
    <w:rsid w:val="00292E7C"/>
    <w:rsid w:val="0029469D"/>
    <w:rsid w:val="002C15C4"/>
    <w:rsid w:val="002D2BF0"/>
    <w:rsid w:val="002E2F47"/>
    <w:rsid w:val="002F48D3"/>
    <w:rsid w:val="00311156"/>
    <w:rsid w:val="00327304"/>
    <w:rsid w:val="003340C2"/>
    <w:rsid w:val="003503FB"/>
    <w:rsid w:val="003534AA"/>
    <w:rsid w:val="00366C6D"/>
    <w:rsid w:val="00377EBA"/>
    <w:rsid w:val="003863A2"/>
    <w:rsid w:val="003A3CDA"/>
    <w:rsid w:val="003A630A"/>
    <w:rsid w:val="003D1516"/>
    <w:rsid w:val="003E76D3"/>
    <w:rsid w:val="00413DF9"/>
    <w:rsid w:val="00433DCF"/>
    <w:rsid w:val="004420E1"/>
    <w:rsid w:val="00442A3A"/>
    <w:rsid w:val="00454195"/>
    <w:rsid w:val="0046215F"/>
    <w:rsid w:val="004676D6"/>
    <w:rsid w:val="00473BA4"/>
    <w:rsid w:val="004E09F9"/>
    <w:rsid w:val="004E1E41"/>
    <w:rsid w:val="004F45ED"/>
    <w:rsid w:val="00515707"/>
    <w:rsid w:val="005330E6"/>
    <w:rsid w:val="0054244D"/>
    <w:rsid w:val="005430DA"/>
    <w:rsid w:val="00546EBE"/>
    <w:rsid w:val="00551671"/>
    <w:rsid w:val="005522D9"/>
    <w:rsid w:val="00560418"/>
    <w:rsid w:val="005733F6"/>
    <w:rsid w:val="00574D67"/>
    <w:rsid w:val="005860D2"/>
    <w:rsid w:val="00587985"/>
    <w:rsid w:val="005A4F4C"/>
    <w:rsid w:val="005D014A"/>
    <w:rsid w:val="0060750D"/>
    <w:rsid w:val="00611293"/>
    <w:rsid w:val="00625D8F"/>
    <w:rsid w:val="0062639D"/>
    <w:rsid w:val="006354A3"/>
    <w:rsid w:val="00646E9B"/>
    <w:rsid w:val="006B476D"/>
    <w:rsid w:val="006B6B19"/>
    <w:rsid w:val="006C4953"/>
    <w:rsid w:val="006D4D7D"/>
    <w:rsid w:val="00703D55"/>
    <w:rsid w:val="00713961"/>
    <w:rsid w:val="00733E12"/>
    <w:rsid w:val="007359EA"/>
    <w:rsid w:val="007A051A"/>
    <w:rsid w:val="007A3972"/>
    <w:rsid w:val="007C4F50"/>
    <w:rsid w:val="007E2EAF"/>
    <w:rsid w:val="00822135"/>
    <w:rsid w:val="008233CD"/>
    <w:rsid w:val="00852CE0"/>
    <w:rsid w:val="00883422"/>
    <w:rsid w:val="008863FC"/>
    <w:rsid w:val="00893C24"/>
    <w:rsid w:val="008971EE"/>
    <w:rsid w:val="008B065E"/>
    <w:rsid w:val="008C3FF9"/>
    <w:rsid w:val="008D3CD9"/>
    <w:rsid w:val="008F7338"/>
    <w:rsid w:val="009009F6"/>
    <w:rsid w:val="00912A2A"/>
    <w:rsid w:val="00922F41"/>
    <w:rsid w:val="00940C6F"/>
    <w:rsid w:val="00950BCD"/>
    <w:rsid w:val="00956E8B"/>
    <w:rsid w:val="00991242"/>
    <w:rsid w:val="009A28FD"/>
    <w:rsid w:val="009B20E9"/>
    <w:rsid w:val="009C2CBB"/>
    <w:rsid w:val="009C3F03"/>
    <w:rsid w:val="009D4594"/>
    <w:rsid w:val="009E6A27"/>
    <w:rsid w:val="00A0231B"/>
    <w:rsid w:val="00A155F0"/>
    <w:rsid w:val="00A15F21"/>
    <w:rsid w:val="00A20A30"/>
    <w:rsid w:val="00A55803"/>
    <w:rsid w:val="00A61425"/>
    <w:rsid w:val="00A7036C"/>
    <w:rsid w:val="00A72BF0"/>
    <w:rsid w:val="00A866BA"/>
    <w:rsid w:val="00A87CED"/>
    <w:rsid w:val="00A943D9"/>
    <w:rsid w:val="00A97734"/>
    <w:rsid w:val="00AC07DC"/>
    <w:rsid w:val="00AD031D"/>
    <w:rsid w:val="00B05116"/>
    <w:rsid w:val="00B05B5F"/>
    <w:rsid w:val="00B21F9A"/>
    <w:rsid w:val="00B36347"/>
    <w:rsid w:val="00B713A2"/>
    <w:rsid w:val="00B921F5"/>
    <w:rsid w:val="00BA28D1"/>
    <w:rsid w:val="00BD0ACE"/>
    <w:rsid w:val="00C039F7"/>
    <w:rsid w:val="00C06E50"/>
    <w:rsid w:val="00C23FE6"/>
    <w:rsid w:val="00C407D3"/>
    <w:rsid w:val="00C41399"/>
    <w:rsid w:val="00C52436"/>
    <w:rsid w:val="00C572E6"/>
    <w:rsid w:val="00CC1DB7"/>
    <w:rsid w:val="00CE0114"/>
    <w:rsid w:val="00CF5494"/>
    <w:rsid w:val="00D026A1"/>
    <w:rsid w:val="00D04564"/>
    <w:rsid w:val="00D04ED7"/>
    <w:rsid w:val="00D52BC2"/>
    <w:rsid w:val="00DA727C"/>
    <w:rsid w:val="00DB7D12"/>
    <w:rsid w:val="00DC5F37"/>
    <w:rsid w:val="00DD223D"/>
    <w:rsid w:val="00E0146E"/>
    <w:rsid w:val="00E1007A"/>
    <w:rsid w:val="00E37A95"/>
    <w:rsid w:val="00E75466"/>
    <w:rsid w:val="00E82095"/>
    <w:rsid w:val="00E84254"/>
    <w:rsid w:val="00EB008A"/>
    <w:rsid w:val="00EC1D5B"/>
    <w:rsid w:val="00ED5A38"/>
    <w:rsid w:val="00EE543E"/>
    <w:rsid w:val="00F0745C"/>
    <w:rsid w:val="00F312A7"/>
    <w:rsid w:val="00F43987"/>
    <w:rsid w:val="00FB2A0A"/>
    <w:rsid w:val="00FB3CB8"/>
    <w:rsid w:val="00FC139D"/>
    <w:rsid w:val="00FE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6"/>
    <o:shapelayout v:ext="edit">
      <o:idmap v:ext="edit" data="1"/>
    </o:shapelayout>
  </w:shapeDefaults>
  <w:decimalSymbol w:val="."/>
  <w:listSeparator w:val=","/>
  <w14:docId w14:val="683D6591"/>
  <w15:chartTrackingRefBased/>
  <w15:docId w15:val="{C90F4140-D99A-494F-AC69-67D10668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55"/>
    <w:rPr>
      <w:rFonts w:eastAsiaTheme="minorEastAsia"/>
      <w:lang w:eastAsia="ja-JP"/>
    </w:rPr>
  </w:style>
  <w:style w:type="paragraph" w:styleId="Heading1">
    <w:name w:val="heading 1"/>
    <w:basedOn w:val="Normal"/>
    <w:next w:val="Normal"/>
    <w:link w:val="Heading1Char"/>
    <w:uiPriority w:val="9"/>
    <w:qFormat/>
    <w:rsid w:val="00BD0ACE"/>
    <w:pPr>
      <w:keepNext/>
      <w:spacing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3D5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03D55"/>
    <w:rPr>
      <w:rFonts w:asciiTheme="majorHAnsi" w:eastAsiaTheme="majorEastAsia" w:hAnsiTheme="majorHAnsi" w:cstheme="majorBidi"/>
      <w:spacing w:val="-10"/>
      <w:sz w:val="56"/>
      <w:szCs w:val="56"/>
      <w:lang w:eastAsia="ja-JP"/>
    </w:rPr>
  </w:style>
  <w:style w:type="character" w:styleId="Hyperlink">
    <w:name w:val="Hyperlink"/>
    <w:basedOn w:val="DefaultParagraphFont"/>
    <w:uiPriority w:val="99"/>
    <w:unhideWhenUsed/>
    <w:rsid w:val="00703D55"/>
    <w:rPr>
      <w:color w:val="0563C1" w:themeColor="hyperlink"/>
      <w:u w:val="single"/>
    </w:rPr>
  </w:style>
  <w:style w:type="table" w:styleId="TableGrid">
    <w:name w:val="Table Grid"/>
    <w:basedOn w:val="TableNormal"/>
    <w:uiPriority w:val="39"/>
    <w:rsid w:val="0070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0114"/>
    <w:rPr>
      <w:color w:val="605E5C"/>
      <w:shd w:val="clear" w:color="auto" w:fill="E1DFDD"/>
    </w:rPr>
  </w:style>
  <w:style w:type="paragraph" w:styleId="ListParagraph">
    <w:name w:val="List Paragraph"/>
    <w:basedOn w:val="Normal"/>
    <w:uiPriority w:val="34"/>
    <w:qFormat/>
    <w:rsid w:val="00C41399"/>
    <w:pPr>
      <w:ind w:left="720"/>
      <w:contextualSpacing/>
    </w:pPr>
  </w:style>
  <w:style w:type="paragraph" w:styleId="BalloonText">
    <w:name w:val="Balloon Text"/>
    <w:basedOn w:val="Normal"/>
    <w:link w:val="BalloonTextChar"/>
    <w:uiPriority w:val="99"/>
    <w:semiHidden/>
    <w:unhideWhenUsed/>
    <w:rsid w:val="00BD0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ACE"/>
    <w:rPr>
      <w:rFonts w:ascii="Segoe UI" w:eastAsiaTheme="minorEastAsia" w:hAnsi="Segoe UI" w:cs="Segoe UI"/>
      <w:sz w:val="18"/>
      <w:szCs w:val="18"/>
      <w:lang w:eastAsia="ja-JP"/>
    </w:rPr>
  </w:style>
  <w:style w:type="character" w:customStyle="1" w:styleId="Heading1Char">
    <w:name w:val="Heading 1 Char"/>
    <w:basedOn w:val="DefaultParagraphFont"/>
    <w:link w:val="Heading1"/>
    <w:uiPriority w:val="9"/>
    <w:rsid w:val="00BD0ACE"/>
    <w:rPr>
      <w:rFonts w:eastAsiaTheme="minorEastAsia"/>
      <w:lang w:eastAsia="ja-JP"/>
    </w:rPr>
  </w:style>
  <w:style w:type="character" w:styleId="CommentReference">
    <w:name w:val="annotation reference"/>
    <w:basedOn w:val="DefaultParagraphFont"/>
    <w:uiPriority w:val="99"/>
    <w:semiHidden/>
    <w:unhideWhenUsed/>
    <w:rsid w:val="00C572E6"/>
    <w:rPr>
      <w:sz w:val="16"/>
      <w:szCs w:val="16"/>
    </w:rPr>
  </w:style>
  <w:style w:type="paragraph" w:styleId="CommentText">
    <w:name w:val="annotation text"/>
    <w:basedOn w:val="Normal"/>
    <w:link w:val="CommentTextChar"/>
    <w:uiPriority w:val="99"/>
    <w:semiHidden/>
    <w:unhideWhenUsed/>
    <w:rsid w:val="00C572E6"/>
    <w:pPr>
      <w:spacing w:line="240" w:lineRule="auto"/>
    </w:pPr>
    <w:rPr>
      <w:sz w:val="20"/>
      <w:szCs w:val="20"/>
    </w:rPr>
  </w:style>
  <w:style w:type="character" w:customStyle="1" w:styleId="CommentTextChar">
    <w:name w:val="Comment Text Char"/>
    <w:basedOn w:val="DefaultParagraphFont"/>
    <w:link w:val="CommentText"/>
    <w:uiPriority w:val="99"/>
    <w:semiHidden/>
    <w:rsid w:val="00C572E6"/>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C572E6"/>
    <w:rPr>
      <w:b/>
      <w:bCs/>
    </w:rPr>
  </w:style>
  <w:style w:type="character" w:customStyle="1" w:styleId="CommentSubjectChar">
    <w:name w:val="Comment Subject Char"/>
    <w:basedOn w:val="CommentTextChar"/>
    <w:link w:val="CommentSubject"/>
    <w:uiPriority w:val="99"/>
    <w:semiHidden/>
    <w:rsid w:val="00C572E6"/>
    <w:rPr>
      <w:rFonts w:eastAsiaTheme="minorEastAsia"/>
      <w:b/>
      <w:bCs/>
      <w:sz w:val="20"/>
      <w:szCs w:val="20"/>
      <w:lang w:eastAsia="ja-JP"/>
    </w:rPr>
  </w:style>
  <w:style w:type="paragraph" w:styleId="Header">
    <w:name w:val="header"/>
    <w:basedOn w:val="Normal"/>
    <w:link w:val="HeaderChar"/>
    <w:uiPriority w:val="99"/>
    <w:unhideWhenUsed/>
    <w:rsid w:val="00A15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21"/>
    <w:rPr>
      <w:rFonts w:eastAsiaTheme="minorEastAsia"/>
      <w:lang w:eastAsia="ja-JP"/>
    </w:rPr>
  </w:style>
  <w:style w:type="paragraph" w:styleId="Footer">
    <w:name w:val="footer"/>
    <w:basedOn w:val="Normal"/>
    <w:link w:val="FooterChar"/>
    <w:uiPriority w:val="99"/>
    <w:unhideWhenUsed/>
    <w:rsid w:val="00A15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2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rcergov.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C1BCC-3544-4783-B296-171BC279F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45B1A-73D4-4A2E-A049-4DD5CF856F5D}">
  <ds:schemaRefs>
    <ds:schemaRef ds:uri="http://schemas.microsoft.com/sharepoint/v3/contenttype/forms"/>
  </ds:schemaRefs>
</ds:datastoreItem>
</file>

<file path=customXml/itemProps3.xml><?xml version="1.0" encoding="utf-8"?>
<ds:datastoreItem xmlns:ds="http://schemas.openxmlformats.org/officeDocument/2006/customXml" ds:itemID="{E6DC57B0-166B-4A69-96C8-C842E3AFF794}">
  <ds:schemaRefs>
    <ds:schemaRef ds:uri="http://purl.org/dc/terms/"/>
    <ds:schemaRef ds:uri="http://schemas.openxmlformats.org/package/2006/metadata/core-properties"/>
    <ds:schemaRef ds:uri="596d0ab4-2578-4c1c-832d-cb69dfd809f4"/>
    <ds:schemaRef ds:uri="http://schemas.microsoft.com/office/2006/documentManagement/types"/>
    <ds:schemaRef ds:uri="http://schemas.microsoft.com/office/infopath/2007/PartnerControls"/>
    <ds:schemaRef ds:uri="http://purl.org/dc/elements/1.1/"/>
    <ds:schemaRef ds:uri="http://schemas.microsoft.com/office/2006/metadata/properties"/>
    <ds:schemaRef ds:uri="9f7d4a3e-eef6-4050-a558-8b258a62aa84"/>
    <ds:schemaRef ds:uri="http://www.w3.org/XML/1998/namespace"/>
    <ds:schemaRef ds:uri="http://purl.org/dc/dcmitype/"/>
  </ds:schemaRefs>
</ds:datastoreItem>
</file>

<file path=customXml/itemProps4.xml><?xml version="1.0" encoding="utf-8"?>
<ds:datastoreItem xmlns:ds="http://schemas.openxmlformats.org/officeDocument/2006/customXml" ds:itemID="{7B3BA1D8-2056-40C9-AAC0-B653977E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City of Mercer Island Staff Report</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Mercer Island Staff Report</dc:title>
  <dc:subject/>
  <dc:creator>Kelsey Salvo</dc:creator>
  <cp:keywords/>
  <dc:description/>
  <cp:lastModifiedBy>Robin Proebsting</cp:lastModifiedBy>
  <cp:revision>15</cp:revision>
  <cp:lastPrinted>2019-01-11T00:38:00Z</cp:lastPrinted>
  <dcterms:created xsi:type="dcterms:W3CDTF">2021-03-06T00:50:00Z</dcterms:created>
  <dcterms:modified xsi:type="dcterms:W3CDTF">2021-04-10T00:11:00Z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